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rPr>
          <w:rFonts w:ascii="宋体" w:hAnsi="宋体" w:eastAsia="宋体"/>
          <w:b/>
          <w:bCs/>
          <w:sz w:val="44"/>
          <w:szCs w:val="44"/>
        </w:rPr>
      </w:pPr>
    </w:p>
    <w:p>
      <w:pPr>
        <w:ind w:firstLine="0" w:firstLineChars="0"/>
        <w:jc w:val="center"/>
        <w:rPr>
          <w:rFonts w:ascii="宋体" w:hAnsi="宋体" w:eastAsia="宋体"/>
          <w:b/>
          <w:bCs/>
          <w:sz w:val="44"/>
          <w:szCs w:val="44"/>
        </w:rPr>
      </w:pPr>
      <w:r>
        <w:rPr>
          <w:rFonts w:ascii="宋体" w:hAnsi="宋体" w:eastAsia="宋体"/>
          <w:b/>
          <w:bCs/>
          <w:sz w:val="44"/>
          <w:szCs w:val="44"/>
        </w:rPr>
        <w:t>20</w:t>
      </w:r>
      <w:r>
        <w:rPr>
          <w:rFonts w:hint="eastAsia" w:ascii="宋体" w:hAnsi="宋体" w:eastAsia="宋体"/>
          <w:b/>
          <w:bCs/>
          <w:sz w:val="44"/>
          <w:szCs w:val="44"/>
        </w:rPr>
        <w:t>21</w:t>
      </w:r>
      <w:r>
        <w:rPr>
          <w:rFonts w:ascii="宋体" w:hAnsi="宋体" w:eastAsia="宋体"/>
          <w:b/>
          <w:bCs/>
          <w:sz w:val="44"/>
          <w:szCs w:val="44"/>
        </w:rPr>
        <w:t>年度</w:t>
      </w:r>
      <w:r>
        <w:rPr>
          <w:rFonts w:hint="eastAsia" w:ascii="宋体" w:hAnsi="宋体" w:eastAsia="宋体"/>
          <w:b/>
          <w:bCs/>
          <w:sz w:val="44"/>
          <w:szCs w:val="44"/>
        </w:rPr>
        <w:t>中共甘肃省委宣传部</w:t>
      </w:r>
    </w:p>
    <w:p>
      <w:pPr>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color w:val="000000" w:themeColor="text1"/>
          <w:sz w:val="32"/>
          <w:szCs w:val="32"/>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中共甘肃省委宣传部</w:t>
      </w:r>
    </w:p>
    <w:p>
      <w:pPr>
        <w:ind w:firstLine="0" w:firstLineChars="0"/>
        <w:jc w:val="center"/>
        <w:rPr>
          <w:rFonts w:ascii="宋体" w:hAnsi="宋体" w:eastAsia="宋体"/>
          <w:b/>
          <w:bCs/>
          <w:sz w:val="32"/>
          <w:szCs w:val="32"/>
        </w:rPr>
      </w:pPr>
      <w:r>
        <w:rPr>
          <w:rFonts w:hint="eastAsia" w:ascii="宋体" w:hAnsi="宋体" w:eastAsia="宋体"/>
          <w:b/>
          <w:bCs/>
          <w:sz w:val="32"/>
          <w:szCs w:val="32"/>
        </w:rPr>
        <w:t>2022年2月28日</w:t>
      </w:r>
    </w:p>
    <w:sdt>
      <w:sdtPr>
        <w:rPr>
          <w:rFonts w:ascii="仿宋_GB2312" w:hAnsi="仿宋_GB2312" w:eastAsia="仿宋_GB2312" w:cstheme="minorBidi"/>
          <w:color w:val="auto"/>
          <w:kern w:val="2"/>
          <w:sz w:val="28"/>
          <w:szCs w:val="22"/>
          <w:lang w:val="zh-CN"/>
        </w:rPr>
        <w:id w:val="-43598675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3"/>
            <w:spacing w:before="0" w:line="360" w:lineRule="auto"/>
            <w:jc w:val="center"/>
            <w:rPr>
              <w:rFonts w:ascii="黑体" w:hAnsi="黑体" w:eastAsia="黑体"/>
              <w:b/>
              <w:bCs/>
              <w:color w:val="auto"/>
            </w:rPr>
          </w:pPr>
          <w:r>
            <w:rPr>
              <w:rFonts w:hint="eastAsia" w:ascii="黑体" w:hAnsi="黑体" w:eastAsia="黑体" w:cs="仿宋_GB2312"/>
              <w:b/>
              <w:bCs/>
              <w:color w:val="auto"/>
              <w:sz w:val="28"/>
              <w:szCs w:val="28"/>
              <w:lang w:val="zh-CN"/>
            </w:rPr>
            <w:t>目</w:t>
          </w:r>
          <w:r>
            <w:rPr>
              <w:rFonts w:hint="eastAsia" w:ascii="黑体" w:hAnsi="黑体" w:eastAsia="黑体" w:cs="仿宋_GB2312"/>
              <w:b/>
              <w:bCs/>
              <w:color w:val="auto"/>
              <w:sz w:val="28"/>
              <w:szCs w:val="28"/>
            </w:rPr>
            <w:t xml:space="preserve">  </w:t>
          </w:r>
          <w:r>
            <w:rPr>
              <w:rFonts w:hint="eastAsia" w:ascii="黑体" w:hAnsi="黑体" w:eastAsia="黑体" w:cs="仿宋_GB2312"/>
              <w:b/>
              <w:bCs/>
              <w:color w:val="auto"/>
              <w:sz w:val="28"/>
              <w:szCs w:val="28"/>
              <w:lang w:val="zh-CN"/>
            </w:rPr>
            <w:t>录</w:t>
          </w:r>
        </w:p>
        <w:p>
          <w:pPr>
            <w:pStyle w:val="16"/>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_Toc8812 </w:instrText>
          </w:r>
          <w:r>
            <w:fldChar w:fldCharType="separate"/>
          </w:r>
          <w:r>
            <w:rPr>
              <w:rFonts w:hint="eastAsia"/>
            </w:rPr>
            <w:t>一、基本情况</w:t>
          </w:r>
          <w:r>
            <w:tab/>
          </w:r>
          <w:r>
            <w:fldChar w:fldCharType="begin"/>
          </w:r>
          <w:r>
            <w:instrText xml:space="preserve"> PAGEREF _Toc8812 \h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_Toc21435 </w:instrText>
          </w:r>
          <w:r>
            <w:fldChar w:fldCharType="separate"/>
          </w:r>
          <w:r>
            <w:rPr>
              <w:rFonts w:hint="eastAsia"/>
            </w:rPr>
            <w:t>（一）部门主要职能</w:t>
          </w:r>
          <w:r>
            <w:tab/>
          </w:r>
          <w:r>
            <w:fldChar w:fldCharType="begin"/>
          </w:r>
          <w:r>
            <w:instrText xml:space="preserve"> PAGEREF _Toc21435 \h </w:instrText>
          </w:r>
          <w:r>
            <w:fldChar w:fldCharType="separate"/>
          </w:r>
          <w:r>
            <w:t>1</w:t>
          </w:r>
          <w:r>
            <w:fldChar w:fldCharType="end"/>
          </w:r>
          <w:r>
            <w:fldChar w:fldCharType="end"/>
          </w:r>
        </w:p>
        <w:p>
          <w:pPr>
            <w:pStyle w:val="17"/>
            <w:tabs>
              <w:tab w:val="right" w:leader="dot" w:pos="8306"/>
              <w:tab w:val="clear" w:pos="8296"/>
            </w:tabs>
          </w:pPr>
          <w:r>
            <w:fldChar w:fldCharType="begin"/>
          </w:r>
          <w:r>
            <w:instrText xml:space="preserve"> HYPERLINK \l _Toc5196 </w:instrText>
          </w:r>
          <w:r>
            <w:fldChar w:fldCharType="separate"/>
          </w:r>
          <w:r>
            <w:rPr>
              <w:rFonts w:hint="eastAsia"/>
            </w:rPr>
            <w:t>（二）内设机构及所属单位概况</w:t>
          </w:r>
          <w:r>
            <w:tab/>
          </w:r>
          <w:r>
            <w:fldChar w:fldCharType="begin"/>
          </w:r>
          <w:r>
            <w:instrText xml:space="preserve"> PAGEREF _Toc5196 \h </w:instrText>
          </w:r>
          <w:r>
            <w:fldChar w:fldCharType="separate"/>
          </w:r>
          <w:r>
            <w:t>1</w:t>
          </w:r>
          <w:r>
            <w:fldChar w:fldCharType="end"/>
          </w:r>
          <w:r>
            <w:fldChar w:fldCharType="end"/>
          </w:r>
        </w:p>
        <w:p>
          <w:pPr>
            <w:pStyle w:val="16"/>
            <w:tabs>
              <w:tab w:val="right" w:leader="dot" w:pos="8306"/>
              <w:tab w:val="clear" w:pos="8296"/>
            </w:tabs>
          </w:pPr>
          <w:r>
            <w:fldChar w:fldCharType="begin"/>
          </w:r>
          <w:r>
            <w:instrText xml:space="preserve"> HYPERLINK \l _Toc31117 </w:instrText>
          </w:r>
          <w:r>
            <w:fldChar w:fldCharType="separate"/>
          </w:r>
          <w:r>
            <w:rPr>
              <w:rFonts w:hint="eastAsia"/>
            </w:rPr>
            <w:t>二、绩效自评工作组织开展情况</w:t>
          </w:r>
          <w:r>
            <w:tab/>
          </w:r>
          <w:r>
            <w:fldChar w:fldCharType="begin"/>
          </w:r>
          <w:r>
            <w:instrText xml:space="preserve"> PAGEREF _Toc31117 \h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_Toc10141 </w:instrText>
          </w:r>
          <w:r>
            <w:fldChar w:fldCharType="separate"/>
          </w:r>
          <w:r>
            <w:rPr>
              <w:rFonts w:hint="eastAsia"/>
            </w:rPr>
            <w:t>（一）工作组织管理</w:t>
          </w:r>
          <w:r>
            <w:tab/>
          </w:r>
          <w:r>
            <w:fldChar w:fldCharType="begin"/>
          </w:r>
          <w:r>
            <w:instrText xml:space="preserve"> PAGEREF _Toc10141 \h </w:instrText>
          </w:r>
          <w:r>
            <w:fldChar w:fldCharType="separate"/>
          </w:r>
          <w:r>
            <w:t>2</w:t>
          </w:r>
          <w:r>
            <w:fldChar w:fldCharType="end"/>
          </w:r>
          <w:r>
            <w:fldChar w:fldCharType="end"/>
          </w:r>
        </w:p>
        <w:p>
          <w:pPr>
            <w:pStyle w:val="17"/>
            <w:tabs>
              <w:tab w:val="right" w:leader="dot" w:pos="8306"/>
              <w:tab w:val="clear" w:pos="8296"/>
            </w:tabs>
          </w:pPr>
          <w:r>
            <w:fldChar w:fldCharType="begin"/>
          </w:r>
          <w:r>
            <w:instrText xml:space="preserve"> HYPERLINK \l _Toc19433 </w:instrText>
          </w:r>
          <w:r>
            <w:fldChar w:fldCharType="separate"/>
          </w:r>
          <w:r>
            <w:rPr>
              <w:rFonts w:hint="eastAsia"/>
            </w:rPr>
            <w:t>（二）自评对象和范围</w:t>
          </w:r>
          <w:r>
            <w:tab/>
          </w:r>
          <w:r>
            <w:fldChar w:fldCharType="begin"/>
          </w:r>
          <w:r>
            <w:instrText xml:space="preserve"> PAGEREF _Toc19433 \h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_Toc15295 </w:instrText>
          </w:r>
          <w:r>
            <w:fldChar w:fldCharType="separate"/>
          </w:r>
          <w:r>
            <w:rPr>
              <w:rFonts w:hint="eastAsia"/>
            </w:rPr>
            <w:t>（三）绩效评价依据</w:t>
          </w:r>
          <w:r>
            <w:tab/>
          </w:r>
          <w:r>
            <w:fldChar w:fldCharType="begin"/>
          </w:r>
          <w:r>
            <w:instrText xml:space="preserve"> PAGEREF _Toc15295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_Toc23932 </w:instrText>
          </w:r>
          <w:r>
            <w:fldChar w:fldCharType="separate"/>
          </w:r>
          <w:r>
            <w:rPr>
              <w:rFonts w:hint="eastAsia"/>
            </w:rPr>
            <w:t>三、部门整体支出绩效自评情况分析</w:t>
          </w:r>
          <w:r>
            <w:tab/>
          </w:r>
          <w:r>
            <w:fldChar w:fldCharType="begin"/>
          </w:r>
          <w:r>
            <w:instrText xml:space="preserve"> PAGEREF _Toc23932 \h </w:instrText>
          </w:r>
          <w:r>
            <w:fldChar w:fldCharType="separate"/>
          </w:r>
          <w:r>
            <w:t>5</w:t>
          </w:r>
          <w:r>
            <w:fldChar w:fldCharType="end"/>
          </w:r>
          <w:r>
            <w:fldChar w:fldCharType="end"/>
          </w:r>
        </w:p>
        <w:p>
          <w:pPr>
            <w:pStyle w:val="17"/>
            <w:tabs>
              <w:tab w:val="right" w:leader="dot" w:pos="8306"/>
              <w:tab w:val="clear" w:pos="8296"/>
            </w:tabs>
          </w:pPr>
          <w:r>
            <w:fldChar w:fldCharType="begin"/>
          </w:r>
          <w:r>
            <w:instrText xml:space="preserve"> HYPERLINK \l _Toc20026 </w:instrText>
          </w:r>
          <w:r>
            <w:fldChar w:fldCharType="separate"/>
          </w:r>
          <w:r>
            <w:rPr>
              <w:rFonts w:hint="eastAsia"/>
            </w:rPr>
            <w:t>（一）部门决算情况</w:t>
          </w:r>
          <w:r>
            <w:tab/>
          </w:r>
          <w:r>
            <w:fldChar w:fldCharType="begin"/>
          </w:r>
          <w:r>
            <w:instrText xml:space="preserve"> PAGEREF _Toc20026 \h </w:instrText>
          </w:r>
          <w:r>
            <w:fldChar w:fldCharType="separate"/>
          </w:r>
          <w:r>
            <w:t>5</w:t>
          </w:r>
          <w:r>
            <w:fldChar w:fldCharType="end"/>
          </w:r>
          <w:r>
            <w:fldChar w:fldCharType="end"/>
          </w:r>
        </w:p>
        <w:p>
          <w:pPr>
            <w:pStyle w:val="17"/>
            <w:tabs>
              <w:tab w:val="right" w:leader="dot" w:pos="8306"/>
              <w:tab w:val="clear" w:pos="8296"/>
            </w:tabs>
          </w:pPr>
          <w:r>
            <w:fldChar w:fldCharType="begin"/>
          </w:r>
          <w:r>
            <w:instrText xml:space="preserve"> HYPERLINK \l _Toc15635 </w:instrText>
          </w:r>
          <w:r>
            <w:fldChar w:fldCharType="separate"/>
          </w:r>
          <w:r>
            <w:rPr>
              <w:rFonts w:hint="eastAsia"/>
            </w:rPr>
            <w:t>（二）总体绩效目标完成情况分析</w:t>
          </w:r>
          <w:r>
            <w:tab/>
          </w:r>
          <w:r>
            <w:fldChar w:fldCharType="begin"/>
          </w:r>
          <w:r>
            <w:instrText xml:space="preserve"> PAGEREF _Toc15635 \h </w:instrText>
          </w:r>
          <w:r>
            <w:fldChar w:fldCharType="separate"/>
          </w:r>
          <w:r>
            <w:t>6</w:t>
          </w:r>
          <w:r>
            <w:fldChar w:fldCharType="end"/>
          </w:r>
          <w:r>
            <w:fldChar w:fldCharType="end"/>
          </w:r>
        </w:p>
        <w:p>
          <w:pPr>
            <w:pStyle w:val="17"/>
            <w:tabs>
              <w:tab w:val="right" w:leader="dot" w:pos="8306"/>
              <w:tab w:val="clear" w:pos="8296"/>
            </w:tabs>
          </w:pPr>
          <w:r>
            <w:fldChar w:fldCharType="begin"/>
          </w:r>
          <w:r>
            <w:instrText xml:space="preserve"> HYPERLINK \l _Toc9339 </w:instrText>
          </w:r>
          <w:r>
            <w:fldChar w:fldCharType="separate"/>
          </w:r>
          <w:r>
            <w:rPr>
              <w:rFonts w:hint="eastAsia"/>
              <w:lang w:eastAsia="zh-CN"/>
            </w:rPr>
            <w:t>（三）</w:t>
          </w:r>
          <w:r>
            <w:rPr>
              <w:rFonts w:hint="eastAsia"/>
            </w:rPr>
            <w:t>各项指标完成情况分析</w:t>
          </w:r>
          <w:r>
            <w:tab/>
          </w:r>
          <w:r>
            <w:fldChar w:fldCharType="begin"/>
          </w:r>
          <w:r>
            <w:instrText xml:space="preserve"> PAGEREF _Toc9339 \h </w:instrText>
          </w:r>
          <w:r>
            <w:fldChar w:fldCharType="separate"/>
          </w:r>
          <w:r>
            <w:t>13</w:t>
          </w:r>
          <w:r>
            <w:fldChar w:fldCharType="end"/>
          </w:r>
          <w:r>
            <w:fldChar w:fldCharType="end"/>
          </w:r>
        </w:p>
        <w:p>
          <w:pPr>
            <w:pStyle w:val="17"/>
            <w:tabs>
              <w:tab w:val="right" w:leader="dot" w:pos="8306"/>
              <w:tab w:val="clear" w:pos="8296"/>
            </w:tabs>
          </w:pPr>
          <w:r>
            <w:fldChar w:fldCharType="begin"/>
          </w:r>
          <w:r>
            <w:instrText xml:space="preserve"> HYPERLINK \l _Toc11480 </w:instrText>
          </w:r>
          <w:r>
            <w:fldChar w:fldCharType="separate"/>
          </w:r>
          <w:r>
            <w:rPr>
              <w:rFonts w:hint="eastAsia"/>
            </w:rPr>
            <w:t>（四）偏离绩效目标的原因及下一步改进措施</w:t>
          </w:r>
          <w:r>
            <w:tab/>
          </w:r>
          <w:r>
            <w:fldChar w:fldCharType="begin"/>
          </w:r>
          <w:r>
            <w:instrText xml:space="preserve"> PAGEREF _Toc11480 \h </w:instrText>
          </w:r>
          <w:r>
            <w:fldChar w:fldCharType="separate"/>
          </w:r>
          <w:r>
            <w:t>28</w:t>
          </w:r>
          <w:r>
            <w:fldChar w:fldCharType="end"/>
          </w:r>
          <w:r>
            <w:fldChar w:fldCharType="end"/>
          </w:r>
        </w:p>
        <w:p>
          <w:pPr>
            <w:pStyle w:val="16"/>
            <w:tabs>
              <w:tab w:val="right" w:leader="dot" w:pos="8306"/>
              <w:tab w:val="clear" w:pos="8296"/>
            </w:tabs>
          </w:pPr>
          <w:r>
            <w:fldChar w:fldCharType="begin"/>
          </w:r>
          <w:r>
            <w:instrText xml:space="preserve"> HYPERLINK \l _Toc2228 </w:instrText>
          </w:r>
          <w:r>
            <w:fldChar w:fldCharType="separate"/>
          </w:r>
          <w:r>
            <w:rPr>
              <w:rFonts w:hint="eastAsia"/>
            </w:rPr>
            <w:t>四、部门预算项目支出绩效自评情况分析</w:t>
          </w:r>
          <w:r>
            <w:tab/>
          </w:r>
          <w:r>
            <w:fldChar w:fldCharType="begin"/>
          </w:r>
          <w:r>
            <w:instrText xml:space="preserve"> PAGEREF _Toc2228 \h </w:instrText>
          </w:r>
          <w:r>
            <w:fldChar w:fldCharType="separate"/>
          </w:r>
          <w:r>
            <w:t>28</w:t>
          </w:r>
          <w:r>
            <w:fldChar w:fldCharType="end"/>
          </w:r>
          <w:r>
            <w:fldChar w:fldCharType="end"/>
          </w:r>
        </w:p>
        <w:p>
          <w:pPr>
            <w:pStyle w:val="17"/>
            <w:tabs>
              <w:tab w:val="right" w:leader="dot" w:pos="8306"/>
              <w:tab w:val="clear" w:pos="8296"/>
            </w:tabs>
          </w:pPr>
          <w:r>
            <w:fldChar w:fldCharType="begin"/>
          </w:r>
          <w:r>
            <w:instrText xml:space="preserve"> HYPERLINK \l _Toc17463 </w:instrText>
          </w:r>
          <w:r>
            <w:fldChar w:fldCharType="separate"/>
          </w:r>
          <w:r>
            <w:rPr>
              <w:rFonts w:hint="eastAsia"/>
            </w:rPr>
            <w:t>（一）项目</w:t>
          </w:r>
          <w:r>
            <w:t>1－</w:t>
          </w:r>
          <w:r>
            <w:rPr>
              <w:rFonts w:hint="eastAsia"/>
            </w:rPr>
            <w:t>业务费</w:t>
          </w:r>
          <w:r>
            <w:tab/>
          </w:r>
          <w:r>
            <w:fldChar w:fldCharType="begin"/>
          </w:r>
          <w:r>
            <w:instrText xml:space="preserve"> PAGEREF _Toc17463 \h </w:instrText>
          </w:r>
          <w:r>
            <w:fldChar w:fldCharType="separate"/>
          </w:r>
          <w:r>
            <w:t>28</w:t>
          </w:r>
          <w:r>
            <w:fldChar w:fldCharType="end"/>
          </w:r>
          <w:r>
            <w:fldChar w:fldCharType="end"/>
          </w:r>
        </w:p>
        <w:p>
          <w:pPr>
            <w:pStyle w:val="17"/>
            <w:tabs>
              <w:tab w:val="right" w:leader="dot" w:pos="8306"/>
              <w:tab w:val="clear" w:pos="8296"/>
            </w:tabs>
          </w:pPr>
          <w:r>
            <w:fldChar w:fldCharType="begin"/>
          </w:r>
          <w:r>
            <w:instrText xml:space="preserve"> HYPERLINK \l _Toc23192 </w:instrText>
          </w:r>
          <w:r>
            <w:fldChar w:fldCharType="separate"/>
          </w:r>
          <w:r>
            <w:rPr>
              <w:rFonts w:hint="eastAsia" w:cs="楷体"/>
            </w:rPr>
            <w:t>（二）项目</w:t>
          </w:r>
          <w:r>
            <w:rPr>
              <w:rFonts w:cs="楷体"/>
            </w:rPr>
            <w:t>2－宣传文化发展专项（含文化精品创作生产、“十个一”文化品牌工程）</w:t>
          </w:r>
          <w:r>
            <w:tab/>
          </w:r>
          <w:r>
            <w:fldChar w:fldCharType="begin"/>
          </w:r>
          <w:r>
            <w:instrText xml:space="preserve"> PAGEREF _Toc23192 \h </w:instrText>
          </w:r>
          <w:r>
            <w:fldChar w:fldCharType="separate"/>
          </w:r>
          <w:r>
            <w:t>33</w:t>
          </w:r>
          <w:r>
            <w:fldChar w:fldCharType="end"/>
          </w:r>
          <w:r>
            <w:fldChar w:fldCharType="end"/>
          </w:r>
        </w:p>
        <w:p>
          <w:pPr>
            <w:pStyle w:val="17"/>
            <w:tabs>
              <w:tab w:val="right" w:leader="dot" w:pos="8306"/>
              <w:tab w:val="clear" w:pos="8296"/>
            </w:tabs>
          </w:pPr>
          <w:r>
            <w:fldChar w:fldCharType="begin"/>
          </w:r>
          <w:r>
            <w:instrText xml:space="preserve"> HYPERLINK \l _Toc23083 </w:instrText>
          </w:r>
          <w:r>
            <w:fldChar w:fldCharType="separate"/>
          </w:r>
          <w:r>
            <w:rPr>
              <w:rFonts w:hint="eastAsia"/>
            </w:rPr>
            <w:t>（三）项目3－延安精神研究工作经费</w:t>
          </w:r>
          <w:r>
            <w:tab/>
          </w:r>
          <w:r>
            <w:fldChar w:fldCharType="begin"/>
          </w:r>
          <w:r>
            <w:instrText xml:space="preserve"> PAGEREF _Toc23083 \h </w:instrText>
          </w:r>
          <w:r>
            <w:fldChar w:fldCharType="separate"/>
          </w:r>
          <w:r>
            <w:t>37</w:t>
          </w:r>
          <w:r>
            <w:fldChar w:fldCharType="end"/>
          </w:r>
          <w:r>
            <w:fldChar w:fldCharType="end"/>
          </w:r>
        </w:p>
        <w:p>
          <w:pPr>
            <w:pStyle w:val="17"/>
            <w:tabs>
              <w:tab w:val="right" w:leader="dot" w:pos="8306"/>
              <w:tab w:val="clear" w:pos="8296"/>
            </w:tabs>
          </w:pPr>
          <w:r>
            <w:fldChar w:fldCharType="begin"/>
          </w:r>
          <w:r>
            <w:instrText xml:space="preserve"> HYPERLINK \l _Toc31487 </w:instrText>
          </w:r>
          <w:r>
            <w:fldChar w:fldCharType="separate"/>
          </w:r>
          <w:r>
            <w:rPr>
              <w:rFonts w:hint="eastAsia"/>
            </w:rPr>
            <w:t>（四）项目4－媒体新闻宣传经费（含甘肃省海外社交平台账号宣传专项经费）</w:t>
          </w:r>
          <w:r>
            <w:tab/>
          </w:r>
          <w:r>
            <w:fldChar w:fldCharType="begin"/>
          </w:r>
          <w:r>
            <w:instrText xml:space="preserve"> PAGEREF _Toc31487 \h </w:instrText>
          </w:r>
          <w:r>
            <w:fldChar w:fldCharType="separate"/>
          </w:r>
          <w:r>
            <w:t>42</w:t>
          </w:r>
          <w:r>
            <w:fldChar w:fldCharType="end"/>
          </w:r>
          <w:r>
            <w:fldChar w:fldCharType="end"/>
          </w:r>
        </w:p>
        <w:p>
          <w:pPr>
            <w:pStyle w:val="17"/>
            <w:tabs>
              <w:tab w:val="right" w:leader="dot" w:pos="8306"/>
              <w:tab w:val="clear" w:pos="8296"/>
            </w:tabs>
          </w:pPr>
          <w:r>
            <w:fldChar w:fldCharType="begin"/>
          </w:r>
          <w:r>
            <w:instrText xml:space="preserve"> HYPERLINK \l _Toc17099 </w:instrText>
          </w:r>
          <w:r>
            <w:fldChar w:fldCharType="separate"/>
          </w:r>
          <w:r>
            <w:rPr>
              <w:rFonts w:hint="eastAsia"/>
            </w:rPr>
            <w:t>（五）项目5－哲学社会科学规划研究培训和基地建设经费</w:t>
          </w:r>
          <w:r>
            <w:tab/>
          </w:r>
          <w:r>
            <w:fldChar w:fldCharType="begin"/>
          </w:r>
          <w:r>
            <w:instrText xml:space="preserve"> PAGEREF _Toc17099 \h </w:instrText>
          </w:r>
          <w:r>
            <w:fldChar w:fldCharType="separate"/>
          </w:r>
          <w:r>
            <w:t>47</w:t>
          </w:r>
          <w:r>
            <w:fldChar w:fldCharType="end"/>
          </w:r>
          <w:r>
            <w:fldChar w:fldCharType="end"/>
          </w:r>
        </w:p>
        <w:p>
          <w:pPr>
            <w:pStyle w:val="17"/>
            <w:tabs>
              <w:tab w:val="right" w:leader="dot" w:pos="8306"/>
              <w:tab w:val="clear" w:pos="8296"/>
            </w:tabs>
          </w:pPr>
          <w:r>
            <w:fldChar w:fldCharType="begin"/>
          </w:r>
          <w:r>
            <w:instrText xml:space="preserve"> HYPERLINK \l _Toc4545 </w:instrText>
          </w:r>
          <w:r>
            <w:fldChar w:fldCharType="separate"/>
          </w:r>
          <w:r>
            <w:rPr>
              <w:rFonts w:hint="eastAsia"/>
            </w:rPr>
            <w:t>（六）项目6－省“扫黄打非”专项</w:t>
          </w:r>
          <w:r>
            <w:tab/>
          </w:r>
          <w:r>
            <w:fldChar w:fldCharType="begin"/>
          </w:r>
          <w:r>
            <w:instrText xml:space="preserve"> PAGEREF _Toc4545 \h </w:instrText>
          </w:r>
          <w:r>
            <w:fldChar w:fldCharType="separate"/>
          </w:r>
          <w:r>
            <w:t>51</w:t>
          </w:r>
          <w:r>
            <w:fldChar w:fldCharType="end"/>
          </w:r>
          <w:r>
            <w:fldChar w:fldCharType="end"/>
          </w:r>
        </w:p>
        <w:p>
          <w:pPr>
            <w:pStyle w:val="17"/>
            <w:tabs>
              <w:tab w:val="right" w:leader="dot" w:pos="8306"/>
              <w:tab w:val="clear" w:pos="8296"/>
            </w:tabs>
          </w:pPr>
          <w:r>
            <w:fldChar w:fldCharType="begin"/>
          </w:r>
          <w:r>
            <w:instrText xml:space="preserve"> HYPERLINK \l _Toc578 </w:instrText>
          </w:r>
          <w:r>
            <w:fldChar w:fldCharType="separate"/>
          </w:r>
          <w:r>
            <w:rPr>
              <w:rFonts w:hint="eastAsia"/>
            </w:rPr>
            <w:t>（七）项目7－《陇右文库》编纂经费</w:t>
          </w:r>
          <w:r>
            <w:tab/>
          </w:r>
          <w:r>
            <w:fldChar w:fldCharType="begin"/>
          </w:r>
          <w:r>
            <w:instrText xml:space="preserve"> PAGEREF _Toc578 \h </w:instrText>
          </w:r>
          <w:r>
            <w:fldChar w:fldCharType="separate"/>
          </w:r>
          <w:r>
            <w:t>58</w:t>
          </w:r>
          <w:r>
            <w:fldChar w:fldCharType="end"/>
          </w:r>
          <w:r>
            <w:fldChar w:fldCharType="end"/>
          </w:r>
        </w:p>
        <w:p>
          <w:pPr>
            <w:pStyle w:val="17"/>
            <w:tabs>
              <w:tab w:val="right" w:leader="dot" w:pos="8306"/>
              <w:tab w:val="clear" w:pos="8296"/>
            </w:tabs>
          </w:pPr>
          <w:r>
            <w:fldChar w:fldCharType="begin"/>
          </w:r>
          <w:r>
            <w:instrText xml:space="preserve"> HYPERLINK \l _Toc26435 </w:instrText>
          </w:r>
          <w:r>
            <w:fldChar w:fldCharType="separate"/>
          </w:r>
          <w:r>
            <w:rPr>
              <w:rFonts w:hint="eastAsia"/>
            </w:rPr>
            <w:t>（八）项目8－少数民族教材出版发行补贴</w:t>
          </w:r>
          <w:r>
            <w:tab/>
          </w:r>
          <w:r>
            <w:fldChar w:fldCharType="begin"/>
          </w:r>
          <w:r>
            <w:instrText xml:space="preserve"> PAGEREF _Toc26435 \h </w:instrText>
          </w:r>
          <w:r>
            <w:fldChar w:fldCharType="separate"/>
          </w:r>
          <w:r>
            <w:t>62</w:t>
          </w:r>
          <w:r>
            <w:fldChar w:fldCharType="end"/>
          </w:r>
          <w:r>
            <w:fldChar w:fldCharType="end"/>
          </w:r>
        </w:p>
        <w:p>
          <w:pPr>
            <w:pStyle w:val="17"/>
            <w:tabs>
              <w:tab w:val="right" w:leader="dot" w:pos="8306"/>
              <w:tab w:val="clear" w:pos="8296"/>
            </w:tabs>
          </w:pPr>
          <w:r>
            <w:fldChar w:fldCharType="begin"/>
          </w:r>
          <w:r>
            <w:instrText xml:space="preserve"> HYPERLINK \l _Toc26787 </w:instrText>
          </w:r>
          <w:r>
            <w:fldChar w:fldCharType="separate"/>
          </w:r>
          <w:r>
            <w:rPr>
              <w:rFonts w:hint="eastAsia"/>
            </w:rPr>
            <w:t>（九）项目9－购买公益性演出</w:t>
          </w:r>
          <w:r>
            <w:tab/>
          </w:r>
          <w:r>
            <w:fldChar w:fldCharType="begin"/>
          </w:r>
          <w:r>
            <w:instrText xml:space="preserve"> PAGEREF _Toc26787 \h </w:instrText>
          </w:r>
          <w:r>
            <w:fldChar w:fldCharType="separate"/>
          </w:r>
          <w:r>
            <w:t>67</w:t>
          </w:r>
          <w:r>
            <w:fldChar w:fldCharType="end"/>
          </w:r>
          <w:r>
            <w:fldChar w:fldCharType="end"/>
          </w:r>
        </w:p>
        <w:p>
          <w:pPr>
            <w:pStyle w:val="17"/>
            <w:tabs>
              <w:tab w:val="right" w:leader="dot" w:pos="8306"/>
              <w:tab w:val="clear" w:pos="8296"/>
            </w:tabs>
          </w:pPr>
          <w:r>
            <w:fldChar w:fldCharType="begin"/>
          </w:r>
          <w:r>
            <w:instrText xml:space="preserve"> HYPERLINK \l _Toc6026 </w:instrText>
          </w:r>
          <w:r>
            <w:fldChar w:fldCharType="separate"/>
          </w:r>
          <w:r>
            <w:rPr>
              <w:rFonts w:hint="eastAsia"/>
            </w:rPr>
            <w:t>（十）项目10－影视精品及精品剧目</w:t>
          </w:r>
          <w:r>
            <w:tab/>
          </w:r>
          <w:r>
            <w:fldChar w:fldCharType="begin"/>
          </w:r>
          <w:r>
            <w:instrText xml:space="preserve"> PAGEREF _Toc6026 \h </w:instrText>
          </w:r>
          <w:r>
            <w:fldChar w:fldCharType="separate"/>
          </w:r>
          <w:r>
            <w:t>71</w:t>
          </w:r>
          <w:r>
            <w:fldChar w:fldCharType="end"/>
          </w:r>
          <w:r>
            <w:fldChar w:fldCharType="end"/>
          </w:r>
        </w:p>
        <w:p>
          <w:pPr>
            <w:pStyle w:val="17"/>
            <w:tabs>
              <w:tab w:val="right" w:leader="dot" w:pos="8306"/>
              <w:tab w:val="clear" w:pos="8296"/>
            </w:tabs>
          </w:pPr>
          <w:r>
            <w:fldChar w:fldCharType="begin"/>
          </w:r>
          <w:r>
            <w:instrText xml:space="preserve"> HYPERLINK \l _Toc25905 </w:instrText>
          </w:r>
          <w:r>
            <w:fldChar w:fldCharType="separate"/>
          </w:r>
          <w:r>
            <w:rPr>
              <w:rFonts w:hint="eastAsia"/>
            </w:rPr>
            <w:t>（十一）项目11－中国嘉峪关国际短片电影展补助</w:t>
          </w:r>
          <w:r>
            <w:tab/>
          </w:r>
          <w:r>
            <w:fldChar w:fldCharType="begin"/>
          </w:r>
          <w:r>
            <w:instrText xml:space="preserve"> PAGEREF _Toc25905 \h </w:instrText>
          </w:r>
          <w:r>
            <w:fldChar w:fldCharType="separate"/>
          </w:r>
          <w:r>
            <w:t>74</w:t>
          </w:r>
          <w:r>
            <w:fldChar w:fldCharType="end"/>
          </w:r>
          <w:r>
            <w:fldChar w:fldCharType="end"/>
          </w:r>
        </w:p>
        <w:p>
          <w:pPr>
            <w:pStyle w:val="17"/>
            <w:tabs>
              <w:tab w:val="right" w:leader="dot" w:pos="8306"/>
              <w:tab w:val="clear" w:pos="8296"/>
            </w:tabs>
          </w:pPr>
          <w:r>
            <w:fldChar w:fldCharType="begin"/>
          </w:r>
          <w:r>
            <w:instrText xml:space="preserve"> HYPERLINK \l _Toc21205 </w:instrText>
          </w:r>
          <w:r>
            <w:fldChar w:fldCharType="separate"/>
          </w:r>
          <w:r>
            <w:rPr>
              <w:rFonts w:hint="eastAsia"/>
            </w:rPr>
            <w:t>（十二）项目12－农村电影公益放映补贴经费</w:t>
          </w:r>
          <w:r>
            <w:tab/>
          </w:r>
          <w:r>
            <w:fldChar w:fldCharType="begin"/>
          </w:r>
          <w:r>
            <w:instrText xml:space="preserve"> PAGEREF _Toc21205 \h </w:instrText>
          </w:r>
          <w:r>
            <w:fldChar w:fldCharType="separate"/>
          </w:r>
          <w:r>
            <w:t>78</w:t>
          </w:r>
          <w:r>
            <w:fldChar w:fldCharType="end"/>
          </w:r>
          <w:r>
            <w:fldChar w:fldCharType="end"/>
          </w:r>
        </w:p>
        <w:p>
          <w:pPr>
            <w:pStyle w:val="17"/>
            <w:tabs>
              <w:tab w:val="right" w:leader="dot" w:pos="8306"/>
              <w:tab w:val="clear" w:pos="8296"/>
            </w:tabs>
          </w:pPr>
          <w:r>
            <w:fldChar w:fldCharType="begin"/>
          </w:r>
          <w:r>
            <w:instrText xml:space="preserve"> HYPERLINK \l _Toc5396 </w:instrText>
          </w:r>
          <w:r>
            <w:fldChar w:fldCharType="separate"/>
          </w:r>
          <w:r>
            <w:rPr>
              <w:rFonts w:hint="eastAsia"/>
            </w:rPr>
            <w:t>（十三）项目1</w:t>
          </w:r>
          <w:r>
            <w:t>3</w:t>
          </w:r>
          <w:r>
            <w:rPr>
              <w:rFonts w:hint="eastAsia"/>
            </w:rPr>
            <w:t>－电影事业发展专项资金</w:t>
          </w:r>
          <w:r>
            <w:tab/>
          </w:r>
          <w:r>
            <w:fldChar w:fldCharType="begin"/>
          </w:r>
          <w:r>
            <w:instrText xml:space="preserve"> PAGEREF _Toc5396 \h </w:instrText>
          </w:r>
          <w:r>
            <w:fldChar w:fldCharType="separate"/>
          </w:r>
          <w:r>
            <w:t>84</w:t>
          </w:r>
          <w:r>
            <w:fldChar w:fldCharType="end"/>
          </w:r>
          <w:r>
            <w:fldChar w:fldCharType="end"/>
          </w:r>
        </w:p>
        <w:p>
          <w:pPr>
            <w:pStyle w:val="17"/>
            <w:tabs>
              <w:tab w:val="right" w:leader="dot" w:pos="8306"/>
              <w:tab w:val="clear" w:pos="8296"/>
            </w:tabs>
          </w:pPr>
          <w:r>
            <w:fldChar w:fldCharType="begin"/>
          </w:r>
          <w:r>
            <w:instrText xml:space="preserve"> HYPERLINK \l _Toc16388 </w:instrText>
          </w:r>
          <w:r>
            <w:fldChar w:fldCharType="separate"/>
          </w:r>
          <w:r>
            <w:rPr>
              <w:rFonts w:hint="eastAsia"/>
            </w:rPr>
            <w:t>（十四）项目14－业务费（含学习强国甘肃学习平台建设使用推广培训等）</w:t>
          </w:r>
          <w:r>
            <w:tab/>
          </w:r>
          <w:r>
            <w:fldChar w:fldCharType="begin"/>
          </w:r>
          <w:r>
            <w:instrText xml:space="preserve"> PAGEREF _Toc16388 \h </w:instrText>
          </w:r>
          <w:r>
            <w:fldChar w:fldCharType="separate"/>
          </w:r>
          <w:r>
            <w:t>89</w:t>
          </w:r>
          <w:r>
            <w:fldChar w:fldCharType="end"/>
          </w:r>
          <w:r>
            <w:fldChar w:fldCharType="end"/>
          </w:r>
        </w:p>
        <w:p>
          <w:pPr>
            <w:pStyle w:val="17"/>
            <w:tabs>
              <w:tab w:val="right" w:leader="dot" w:pos="8306"/>
              <w:tab w:val="clear" w:pos="8296"/>
            </w:tabs>
          </w:pPr>
          <w:r>
            <w:fldChar w:fldCharType="begin"/>
          </w:r>
          <w:r>
            <w:instrText xml:space="preserve"> HYPERLINK \l _Toc28823 </w:instrText>
          </w:r>
          <w:r>
            <w:fldChar w:fldCharType="separate"/>
          </w:r>
          <w:r>
            <w:rPr>
              <w:rFonts w:hint="eastAsia"/>
            </w:rPr>
            <w:t>（十五）项目15－《党的建设》杂志社办刊补助</w:t>
          </w:r>
          <w:r>
            <w:tab/>
          </w:r>
          <w:r>
            <w:fldChar w:fldCharType="begin"/>
          </w:r>
          <w:r>
            <w:instrText xml:space="preserve"> PAGEREF _Toc28823 \h </w:instrText>
          </w:r>
          <w:r>
            <w:fldChar w:fldCharType="separate"/>
          </w:r>
          <w:r>
            <w:t>93</w:t>
          </w:r>
          <w:r>
            <w:fldChar w:fldCharType="end"/>
          </w:r>
          <w:r>
            <w:fldChar w:fldCharType="end"/>
          </w:r>
        </w:p>
        <w:p>
          <w:pPr>
            <w:pStyle w:val="17"/>
            <w:tabs>
              <w:tab w:val="right" w:leader="dot" w:pos="8306"/>
              <w:tab w:val="clear" w:pos="8296"/>
            </w:tabs>
          </w:pPr>
          <w:r>
            <w:fldChar w:fldCharType="begin"/>
          </w:r>
          <w:r>
            <w:instrText xml:space="preserve"> HYPERLINK \l _Toc30565 </w:instrText>
          </w:r>
          <w:r>
            <w:fldChar w:fldCharType="separate"/>
          </w:r>
          <w:r>
            <w:rPr>
              <w:rFonts w:hint="eastAsia"/>
            </w:rPr>
            <w:t>（十六）项目16－精神文明建设重点工作经费（含新时代文明实践中心试点建设）</w:t>
          </w:r>
          <w:r>
            <w:tab/>
          </w:r>
          <w:r>
            <w:fldChar w:fldCharType="begin"/>
          </w:r>
          <w:r>
            <w:instrText xml:space="preserve"> PAGEREF _Toc30565 \h </w:instrText>
          </w:r>
          <w:r>
            <w:fldChar w:fldCharType="separate"/>
          </w:r>
          <w:r>
            <w:t>98</w:t>
          </w:r>
          <w:r>
            <w:fldChar w:fldCharType="end"/>
          </w:r>
          <w:r>
            <w:fldChar w:fldCharType="end"/>
          </w:r>
        </w:p>
        <w:p>
          <w:pPr>
            <w:pStyle w:val="17"/>
            <w:tabs>
              <w:tab w:val="right" w:leader="dot" w:pos="8306"/>
              <w:tab w:val="clear" w:pos="8296"/>
            </w:tabs>
          </w:pPr>
          <w:r>
            <w:fldChar w:fldCharType="begin"/>
          </w:r>
          <w:r>
            <w:instrText xml:space="preserve"> HYPERLINK \l _Toc21338 </w:instrText>
          </w:r>
          <w:r>
            <w:fldChar w:fldCharType="separate"/>
          </w:r>
          <w:r>
            <w:rPr>
              <w:rFonts w:hint="eastAsia"/>
            </w:rPr>
            <w:t>（十七）项目17－长征长城黄河公园建设及省级文化产业发展改革专项</w:t>
          </w:r>
          <w:r>
            <w:tab/>
          </w:r>
          <w:r>
            <w:fldChar w:fldCharType="begin"/>
          </w:r>
          <w:r>
            <w:instrText xml:space="preserve"> PAGEREF _Toc21338 \h </w:instrText>
          </w:r>
          <w:r>
            <w:fldChar w:fldCharType="separate"/>
          </w:r>
          <w:r>
            <w:t>103</w:t>
          </w:r>
          <w:r>
            <w:fldChar w:fldCharType="end"/>
          </w:r>
          <w:r>
            <w:fldChar w:fldCharType="end"/>
          </w:r>
        </w:p>
        <w:p>
          <w:pPr>
            <w:pStyle w:val="17"/>
            <w:tabs>
              <w:tab w:val="right" w:leader="dot" w:pos="8306"/>
              <w:tab w:val="clear" w:pos="8296"/>
            </w:tabs>
          </w:pPr>
          <w:r>
            <w:fldChar w:fldCharType="begin"/>
          </w:r>
          <w:r>
            <w:instrText xml:space="preserve"> HYPERLINK \l _Toc144 </w:instrText>
          </w:r>
          <w:r>
            <w:fldChar w:fldCharType="separate"/>
          </w:r>
          <w:r>
            <w:rPr>
              <w:rFonts w:hint="eastAsia"/>
            </w:rPr>
            <w:t>（十八）项目18－优秀图书、音像制品及电子出版物奖评选专项经费（一次性）</w:t>
          </w:r>
          <w:r>
            <w:tab/>
          </w:r>
          <w:r>
            <w:fldChar w:fldCharType="begin"/>
          </w:r>
          <w:r>
            <w:instrText xml:space="preserve"> PAGEREF _Toc144 \h </w:instrText>
          </w:r>
          <w:r>
            <w:fldChar w:fldCharType="separate"/>
          </w:r>
          <w:r>
            <w:t>107</w:t>
          </w:r>
          <w:r>
            <w:fldChar w:fldCharType="end"/>
          </w:r>
          <w:r>
            <w:fldChar w:fldCharType="end"/>
          </w:r>
        </w:p>
        <w:p>
          <w:pPr>
            <w:pStyle w:val="17"/>
            <w:tabs>
              <w:tab w:val="right" w:leader="dot" w:pos="8306"/>
              <w:tab w:val="clear" w:pos="8296"/>
            </w:tabs>
          </w:pPr>
          <w:r>
            <w:fldChar w:fldCharType="begin"/>
          </w:r>
          <w:r>
            <w:instrText xml:space="preserve"> HYPERLINK \l _Toc16163 </w:instrText>
          </w:r>
          <w:r>
            <w:fldChar w:fldCharType="separate"/>
          </w:r>
          <w:r>
            <w:rPr>
              <w:rFonts w:hint="eastAsia"/>
            </w:rPr>
            <w:t>（十九）项目19－敦煌文艺奖评选经费（一次性）</w:t>
          </w:r>
          <w:r>
            <w:tab/>
          </w:r>
          <w:r>
            <w:fldChar w:fldCharType="begin"/>
          </w:r>
          <w:r>
            <w:instrText xml:space="preserve"> PAGEREF _Toc16163 \h </w:instrText>
          </w:r>
          <w:r>
            <w:fldChar w:fldCharType="separate"/>
          </w:r>
          <w:r>
            <w:t>111</w:t>
          </w:r>
          <w:r>
            <w:fldChar w:fldCharType="end"/>
          </w:r>
          <w:r>
            <w:fldChar w:fldCharType="end"/>
          </w:r>
        </w:p>
        <w:p>
          <w:pPr>
            <w:pStyle w:val="17"/>
            <w:tabs>
              <w:tab w:val="right" w:leader="dot" w:pos="8306"/>
              <w:tab w:val="clear" w:pos="8296"/>
            </w:tabs>
          </w:pPr>
          <w:r>
            <w:fldChar w:fldCharType="begin"/>
          </w:r>
          <w:r>
            <w:instrText xml:space="preserve"> HYPERLINK \l _Toc21625 </w:instrText>
          </w:r>
          <w:r>
            <w:fldChar w:fldCharType="separate"/>
          </w:r>
          <w:r>
            <w:rPr>
              <w:rFonts w:hint="eastAsia"/>
            </w:rPr>
            <w:t>（二十）项目20－公共文化服务建设体系建设专项（农家书屋）</w:t>
          </w:r>
          <w:r>
            <w:tab/>
          </w:r>
          <w:r>
            <w:fldChar w:fldCharType="begin"/>
          </w:r>
          <w:r>
            <w:instrText xml:space="preserve"> PAGEREF _Toc21625 \h </w:instrText>
          </w:r>
          <w:r>
            <w:fldChar w:fldCharType="separate"/>
          </w:r>
          <w:r>
            <w:t>116</w:t>
          </w:r>
          <w:r>
            <w:fldChar w:fldCharType="end"/>
          </w:r>
          <w:r>
            <w:fldChar w:fldCharType="end"/>
          </w:r>
        </w:p>
        <w:p>
          <w:pPr>
            <w:pStyle w:val="17"/>
            <w:tabs>
              <w:tab w:val="right" w:leader="dot" w:pos="8306"/>
              <w:tab w:val="clear" w:pos="8296"/>
            </w:tabs>
          </w:pPr>
          <w:r>
            <w:fldChar w:fldCharType="begin"/>
          </w:r>
          <w:r>
            <w:instrText xml:space="preserve"> HYPERLINK \l _Toc30263 </w:instrText>
          </w:r>
          <w:r>
            <w:fldChar w:fldCharType="separate"/>
          </w:r>
          <w:r>
            <w:rPr>
              <w:rFonts w:hint="eastAsia"/>
            </w:rPr>
            <w:t>（二十一）项目21－“一带一路”美丽乡村论坛办会经费</w:t>
          </w:r>
          <w:r>
            <w:tab/>
          </w:r>
          <w:r>
            <w:fldChar w:fldCharType="begin"/>
          </w:r>
          <w:r>
            <w:instrText xml:space="preserve"> PAGEREF _Toc30263 \h </w:instrText>
          </w:r>
          <w:r>
            <w:fldChar w:fldCharType="separate"/>
          </w:r>
          <w:r>
            <w:t>120</w:t>
          </w:r>
          <w:r>
            <w:fldChar w:fldCharType="end"/>
          </w:r>
          <w:r>
            <w:fldChar w:fldCharType="end"/>
          </w:r>
        </w:p>
        <w:p>
          <w:pPr>
            <w:pStyle w:val="17"/>
            <w:tabs>
              <w:tab w:val="right" w:leader="dot" w:pos="8306"/>
              <w:tab w:val="clear" w:pos="8296"/>
            </w:tabs>
          </w:pPr>
          <w:r>
            <w:fldChar w:fldCharType="begin"/>
          </w:r>
          <w:r>
            <w:instrText xml:space="preserve"> HYPERLINK \l _Toc11504 </w:instrText>
          </w:r>
          <w:r>
            <w:fldChar w:fldCharType="separate"/>
          </w:r>
          <w:r>
            <w:rPr>
              <w:rFonts w:hint="eastAsia"/>
            </w:rPr>
            <w:t>（二十二）项目22－</w:t>
          </w:r>
          <w:r>
            <w:t>2021年“一会一节”省级办会专项经费</w:t>
          </w:r>
          <w:r>
            <w:tab/>
          </w:r>
          <w:r>
            <w:fldChar w:fldCharType="begin"/>
          </w:r>
          <w:r>
            <w:instrText xml:space="preserve"> PAGEREF _Toc11504 \h </w:instrText>
          </w:r>
          <w:r>
            <w:fldChar w:fldCharType="separate"/>
          </w:r>
          <w:r>
            <w:t>126</w:t>
          </w:r>
          <w:r>
            <w:fldChar w:fldCharType="end"/>
          </w:r>
          <w:r>
            <w:fldChar w:fldCharType="end"/>
          </w:r>
        </w:p>
        <w:p>
          <w:pPr>
            <w:pStyle w:val="17"/>
            <w:tabs>
              <w:tab w:val="right" w:leader="dot" w:pos="8306"/>
              <w:tab w:val="clear" w:pos="8296"/>
            </w:tabs>
          </w:pPr>
          <w:r>
            <w:fldChar w:fldCharType="begin"/>
          </w:r>
          <w:r>
            <w:instrText xml:space="preserve"> HYPERLINK \l _Toc12631 </w:instrText>
          </w:r>
          <w:r>
            <w:fldChar w:fldCharType="separate"/>
          </w:r>
          <w:r>
            <w:rPr>
              <w:rFonts w:hint="eastAsia"/>
            </w:rPr>
            <w:t>（二十三）项目23－党史学习教育专项补助经费</w:t>
          </w:r>
          <w:r>
            <w:tab/>
          </w:r>
          <w:r>
            <w:fldChar w:fldCharType="begin"/>
          </w:r>
          <w:r>
            <w:instrText xml:space="preserve"> PAGEREF _Toc12631 \h </w:instrText>
          </w:r>
          <w:r>
            <w:fldChar w:fldCharType="separate"/>
          </w:r>
          <w:r>
            <w:t>130</w:t>
          </w:r>
          <w:r>
            <w:fldChar w:fldCharType="end"/>
          </w:r>
          <w:r>
            <w:fldChar w:fldCharType="end"/>
          </w:r>
        </w:p>
        <w:p>
          <w:pPr>
            <w:pStyle w:val="17"/>
            <w:tabs>
              <w:tab w:val="right" w:leader="dot" w:pos="8306"/>
              <w:tab w:val="clear" w:pos="8296"/>
            </w:tabs>
          </w:pPr>
          <w:r>
            <w:fldChar w:fldCharType="begin"/>
          </w:r>
          <w:r>
            <w:instrText xml:space="preserve"> HYPERLINK \l _Toc29978 </w:instrText>
          </w:r>
          <w:r>
            <w:fldChar w:fldCharType="separate"/>
          </w:r>
          <w:r>
            <w:rPr>
              <w:rFonts w:hint="eastAsia"/>
            </w:rPr>
            <w:t>（二十四）项目</w:t>
          </w:r>
          <w:r>
            <w:t>24－建党100周年宣传活动经费</w:t>
          </w:r>
          <w:r>
            <w:tab/>
          </w:r>
          <w:r>
            <w:fldChar w:fldCharType="begin"/>
          </w:r>
          <w:r>
            <w:instrText xml:space="preserve"> PAGEREF _Toc29978 \h </w:instrText>
          </w:r>
          <w:r>
            <w:fldChar w:fldCharType="separate"/>
          </w:r>
          <w:r>
            <w:t>134</w:t>
          </w:r>
          <w:r>
            <w:fldChar w:fldCharType="end"/>
          </w:r>
          <w:r>
            <w:fldChar w:fldCharType="end"/>
          </w:r>
        </w:p>
        <w:p>
          <w:pPr>
            <w:pStyle w:val="17"/>
            <w:tabs>
              <w:tab w:val="right" w:leader="dot" w:pos="8306"/>
              <w:tab w:val="clear" w:pos="8296"/>
            </w:tabs>
          </w:pPr>
          <w:r>
            <w:fldChar w:fldCharType="begin"/>
          </w:r>
          <w:r>
            <w:instrText xml:space="preserve"> HYPERLINK \l _Toc5853 </w:instrText>
          </w:r>
          <w:r>
            <w:fldChar w:fldCharType="separate"/>
          </w:r>
          <w:r>
            <w:rPr>
              <w:rFonts w:hint="eastAsia"/>
            </w:rPr>
            <w:t>（二十五）项目25－甘肃演艺集团转企事业费</w:t>
          </w:r>
          <w:r>
            <w:tab/>
          </w:r>
          <w:r>
            <w:fldChar w:fldCharType="begin"/>
          </w:r>
          <w:r>
            <w:instrText xml:space="preserve"> PAGEREF _Toc5853 \h </w:instrText>
          </w:r>
          <w:r>
            <w:fldChar w:fldCharType="separate"/>
          </w:r>
          <w:r>
            <w:t>140</w:t>
          </w:r>
          <w:r>
            <w:fldChar w:fldCharType="end"/>
          </w:r>
          <w:r>
            <w:fldChar w:fldCharType="end"/>
          </w:r>
        </w:p>
        <w:p>
          <w:pPr>
            <w:pStyle w:val="17"/>
            <w:tabs>
              <w:tab w:val="right" w:leader="dot" w:pos="8306"/>
              <w:tab w:val="clear" w:pos="8296"/>
            </w:tabs>
          </w:pPr>
          <w:r>
            <w:fldChar w:fldCharType="begin"/>
          </w:r>
          <w:r>
            <w:instrText xml:space="preserve"> HYPERLINK \l _Toc2724 </w:instrText>
          </w:r>
          <w:r>
            <w:fldChar w:fldCharType="separate"/>
          </w:r>
          <w:r>
            <w:rPr>
              <w:rFonts w:hint="eastAsia"/>
            </w:rPr>
            <w:t>（二十六）项目26－疫情防控宣传报道补助经费</w:t>
          </w:r>
          <w:r>
            <w:tab/>
          </w:r>
          <w:r>
            <w:fldChar w:fldCharType="begin"/>
          </w:r>
          <w:r>
            <w:instrText xml:space="preserve"> PAGEREF _Toc2724 \h </w:instrText>
          </w:r>
          <w:r>
            <w:fldChar w:fldCharType="separate"/>
          </w:r>
          <w:r>
            <w:t>143</w:t>
          </w:r>
          <w:r>
            <w:fldChar w:fldCharType="end"/>
          </w:r>
          <w:r>
            <w:fldChar w:fldCharType="end"/>
          </w:r>
        </w:p>
        <w:p>
          <w:pPr>
            <w:pStyle w:val="16"/>
            <w:tabs>
              <w:tab w:val="right" w:leader="dot" w:pos="8306"/>
              <w:tab w:val="clear" w:pos="8296"/>
            </w:tabs>
          </w:pPr>
          <w:r>
            <w:fldChar w:fldCharType="begin"/>
          </w:r>
          <w:r>
            <w:instrText xml:space="preserve"> HYPERLINK \l _Toc908 </w:instrText>
          </w:r>
          <w:r>
            <w:fldChar w:fldCharType="separate"/>
          </w:r>
          <w:r>
            <w:rPr>
              <w:rFonts w:hint="eastAsia"/>
            </w:rPr>
            <w:t>五、部门管理的省对市县转移支付绩效自评情况分析</w:t>
          </w:r>
          <w:r>
            <w:tab/>
          </w:r>
          <w:r>
            <w:fldChar w:fldCharType="begin"/>
          </w:r>
          <w:r>
            <w:instrText xml:space="preserve"> PAGEREF _Toc908 \h </w:instrText>
          </w:r>
          <w:r>
            <w:fldChar w:fldCharType="separate"/>
          </w:r>
          <w:r>
            <w:t>147</w:t>
          </w:r>
          <w:r>
            <w:fldChar w:fldCharType="end"/>
          </w:r>
          <w:r>
            <w:fldChar w:fldCharType="end"/>
          </w:r>
        </w:p>
        <w:p>
          <w:pPr>
            <w:pStyle w:val="16"/>
            <w:tabs>
              <w:tab w:val="right" w:leader="dot" w:pos="8306"/>
              <w:tab w:val="clear" w:pos="8296"/>
            </w:tabs>
          </w:pPr>
          <w:r>
            <w:fldChar w:fldCharType="begin"/>
          </w:r>
          <w:r>
            <w:instrText xml:space="preserve"> HYPERLINK \l _Toc15820 </w:instrText>
          </w:r>
          <w:r>
            <w:fldChar w:fldCharType="separate"/>
          </w:r>
          <w:r>
            <w:rPr>
              <w:rFonts w:hint="eastAsia"/>
            </w:rPr>
            <w:t>六、绩效自评结果拟应用和公开情况</w:t>
          </w:r>
          <w:r>
            <w:tab/>
          </w:r>
          <w:r>
            <w:fldChar w:fldCharType="begin"/>
          </w:r>
          <w:r>
            <w:instrText xml:space="preserve"> PAGEREF _Toc15820 \h </w:instrText>
          </w:r>
          <w:r>
            <w:fldChar w:fldCharType="separate"/>
          </w:r>
          <w:r>
            <w:t>147</w:t>
          </w:r>
          <w:r>
            <w:fldChar w:fldCharType="end"/>
          </w:r>
          <w:r>
            <w:fldChar w:fldCharType="end"/>
          </w:r>
        </w:p>
        <w:p>
          <w:pPr>
            <w:pStyle w:val="16"/>
            <w:tabs>
              <w:tab w:val="right" w:leader="dot" w:pos="8306"/>
              <w:tab w:val="clear" w:pos="8296"/>
            </w:tabs>
          </w:pPr>
          <w:r>
            <w:fldChar w:fldCharType="begin"/>
          </w:r>
          <w:r>
            <w:instrText xml:space="preserve"> HYPERLINK \l _Toc31502 </w:instrText>
          </w:r>
          <w:r>
            <w:fldChar w:fldCharType="separate"/>
          </w:r>
          <w:r>
            <w:rPr>
              <w:rFonts w:hint="eastAsia"/>
            </w:rPr>
            <w:t>七、其他需要说明的问题</w:t>
          </w:r>
          <w:r>
            <w:tab/>
          </w:r>
          <w:r>
            <w:fldChar w:fldCharType="begin"/>
          </w:r>
          <w:r>
            <w:instrText xml:space="preserve"> PAGEREF _Toc31502 \h </w:instrText>
          </w:r>
          <w:r>
            <w:fldChar w:fldCharType="separate"/>
          </w:r>
          <w:r>
            <w:t>147</w:t>
          </w:r>
          <w:r>
            <w:fldChar w:fldCharType="end"/>
          </w:r>
          <w:r>
            <w:fldChar w:fldCharType="end"/>
          </w:r>
        </w:p>
        <w:p>
          <w:pPr>
            <w:pStyle w:val="16"/>
            <w:tabs>
              <w:tab w:val="right" w:leader="dot" w:pos="8306"/>
              <w:tab w:val="clear" w:pos="8296"/>
            </w:tabs>
          </w:pPr>
          <w:r>
            <w:fldChar w:fldCharType="begin"/>
          </w:r>
          <w:r>
            <w:instrText xml:space="preserve"> HYPERLINK \l _Toc11891 </w:instrText>
          </w:r>
          <w:r>
            <w:fldChar w:fldCharType="separate"/>
          </w:r>
          <w:r>
            <w:rPr>
              <w:rFonts w:hint="eastAsia"/>
            </w:rPr>
            <w:t>附件1：</w:t>
          </w:r>
          <w:r>
            <w:t>部门整体支出绩效自评表</w:t>
          </w:r>
          <w:r>
            <w:tab/>
          </w:r>
          <w:r>
            <w:fldChar w:fldCharType="begin"/>
          </w:r>
          <w:r>
            <w:instrText xml:space="preserve"> PAGEREF _Toc11891 \h </w:instrText>
          </w:r>
          <w:r>
            <w:fldChar w:fldCharType="separate"/>
          </w:r>
          <w:r>
            <w:t>149</w:t>
          </w:r>
          <w:r>
            <w:fldChar w:fldCharType="end"/>
          </w:r>
          <w:r>
            <w:fldChar w:fldCharType="end"/>
          </w:r>
        </w:p>
        <w:p>
          <w:pPr>
            <w:pStyle w:val="16"/>
            <w:tabs>
              <w:tab w:val="right" w:leader="dot" w:pos="8306"/>
              <w:tab w:val="clear" w:pos="8296"/>
            </w:tabs>
          </w:pPr>
          <w:r>
            <w:fldChar w:fldCharType="begin"/>
          </w:r>
          <w:r>
            <w:instrText xml:space="preserve"> HYPERLINK \l _Toc1335 </w:instrText>
          </w:r>
          <w:r>
            <w:fldChar w:fldCharType="separate"/>
          </w:r>
          <w:r>
            <w:rPr>
              <w:rFonts w:hint="eastAsia"/>
            </w:rPr>
            <w:t>附件2：部门预算项目支出绩效自评结果汇总表</w:t>
          </w:r>
          <w:r>
            <w:tab/>
          </w:r>
          <w:r>
            <w:fldChar w:fldCharType="begin"/>
          </w:r>
          <w:r>
            <w:instrText xml:space="preserve"> PAGEREF _Toc1335 \h </w:instrText>
          </w:r>
          <w:r>
            <w:fldChar w:fldCharType="separate"/>
          </w:r>
          <w:r>
            <w:t>159</w:t>
          </w:r>
          <w:r>
            <w:fldChar w:fldCharType="end"/>
          </w:r>
          <w:r>
            <w:fldChar w:fldCharType="end"/>
          </w:r>
        </w:p>
        <w:p>
          <w:pPr>
            <w:pStyle w:val="16"/>
            <w:tabs>
              <w:tab w:val="right" w:leader="dot" w:pos="8306"/>
              <w:tab w:val="clear" w:pos="8296"/>
            </w:tabs>
          </w:pPr>
          <w:r>
            <w:fldChar w:fldCharType="begin"/>
          </w:r>
          <w:r>
            <w:instrText xml:space="preserve"> HYPERLINK \l _Toc22212 </w:instrText>
          </w:r>
          <w:r>
            <w:fldChar w:fldCharType="separate"/>
          </w:r>
          <w:r>
            <w:rPr>
              <w:rFonts w:hint="eastAsia"/>
            </w:rPr>
            <w:t>附件3：业务</w:t>
          </w:r>
          <w:r>
            <w:rPr>
              <w:rFonts w:hint="eastAsia"/>
              <w:lang w:eastAsia="zh-CN"/>
            </w:rPr>
            <w:t>费</w:t>
          </w:r>
          <w:r>
            <w:rPr>
              <w:rFonts w:hint="eastAsia"/>
            </w:rPr>
            <w:t>项目绩效自评表</w:t>
          </w:r>
          <w:r>
            <w:tab/>
          </w:r>
          <w:r>
            <w:fldChar w:fldCharType="begin"/>
          </w:r>
          <w:r>
            <w:instrText xml:space="preserve"> PAGEREF _Toc22212 \h </w:instrText>
          </w:r>
          <w:r>
            <w:fldChar w:fldCharType="separate"/>
          </w:r>
          <w:r>
            <w:t>162</w:t>
          </w:r>
          <w:r>
            <w:fldChar w:fldCharType="end"/>
          </w:r>
          <w:r>
            <w:fldChar w:fldCharType="end"/>
          </w:r>
        </w:p>
        <w:p>
          <w:pPr>
            <w:pStyle w:val="16"/>
            <w:tabs>
              <w:tab w:val="right" w:leader="dot" w:pos="8306"/>
              <w:tab w:val="clear" w:pos="8296"/>
            </w:tabs>
          </w:pPr>
          <w:r>
            <w:fldChar w:fldCharType="begin"/>
          </w:r>
          <w:r>
            <w:instrText xml:space="preserve"> HYPERLINK \l _Toc9858 </w:instrText>
          </w:r>
          <w:r>
            <w:fldChar w:fldCharType="separate"/>
          </w:r>
          <w:r>
            <w:rPr>
              <w:rFonts w:hint="eastAsia"/>
            </w:rPr>
            <w:t>附件4：宣传文化专项绩效自评表</w:t>
          </w:r>
          <w:r>
            <w:tab/>
          </w:r>
          <w:r>
            <w:fldChar w:fldCharType="begin"/>
          </w:r>
          <w:r>
            <w:instrText xml:space="preserve"> PAGEREF _Toc9858 \h </w:instrText>
          </w:r>
          <w:r>
            <w:fldChar w:fldCharType="separate"/>
          </w:r>
          <w:r>
            <w:t>166</w:t>
          </w:r>
          <w:r>
            <w:fldChar w:fldCharType="end"/>
          </w:r>
          <w:r>
            <w:fldChar w:fldCharType="end"/>
          </w:r>
        </w:p>
        <w:p>
          <w:pPr>
            <w:pStyle w:val="16"/>
            <w:tabs>
              <w:tab w:val="right" w:leader="dot" w:pos="8306"/>
              <w:tab w:val="clear" w:pos="8296"/>
            </w:tabs>
          </w:pPr>
          <w:r>
            <w:fldChar w:fldCharType="begin"/>
          </w:r>
          <w:r>
            <w:instrText xml:space="preserve"> HYPERLINK \l _Toc22600 </w:instrText>
          </w:r>
          <w:r>
            <w:fldChar w:fldCharType="separate"/>
          </w:r>
          <w:r>
            <w:rPr>
              <w:rFonts w:hint="eastAsia"/>
            </w:rPr>
            <w:t>附件5：延安精神研究工作经费绩效自评表</w:t>
          </w:r>
          <w:r>
            <w:tab/>
          </w:r>
          <w:r>
            <w:fldChar w:fldCharType="begin"/>
          </w:r>
          <w:r>
            <w:instrText xml:space="preserve"> PAGEREF _Toc22600 \h </w:instrText>
          </w:r>
          <w:r>
            <w:fldChar w:fldCharType="separate"/>
          </w:r>
          <w:r>
            <w:t>168</w:t>
          </w:r>
          <w:r>
            <w:fldChar w:fldCharType="end"/>
          </w:r>
          <w:r>
            <w:fldChar w:fldCharType="end"/>
          </w:r>
        </w:p>
        <w:p>
          <w:pPr>
            <w:pStyle w:val="16"/>
            <w:tabs>
              <w:tab w:val="right" w:leader="dot" w:pos="8306"/>
              <w:tab w:val="clear" w:pos="8296"/>
            </w:tabs>
          </w:pPr>
          <w:r>
            <w:fldChar w:fldCharType="begin"/>
          </w:r>
          <w:r>
            <w:instrText xml:space="preserve"> HYPERLINK \l _Toc21866 </w:instrText>
          </w:r>
          <w:r>
            <w:fldChar w:fldCharType="separate"/>
          </w:r>
          <w:r>
            <w:rPr>
              <w:rFonts w:hint="eastAsia"/>
            </w:rPr>
            <w:t>附件6：媒体新闻宣传经费绩效自评表</w:t>
          </w:r>
          <w:r>
            <w:tab/>
          </w:r>
          <w:r>
            <w:fldChar w:fldCharType="begin"/>
          </w:r>
          <w:r>
            <w:instrText xml:space="preserve"> PAGEREF _Toc21866 \h </w:instrText>
          </w:r>
          <w:r>
            <w:fldChar w:fldCharType="separate"/>
          </w:r>
          <w:r>
            <w:t>172</w:t>
          </w:r>
          <w:r>
            <w:fldChar w:fldCharType="end"/>
          </w:r>
          <w:r>
            <w:fldChar w:fldCharType="end"/>
          </w:r>
        </w:p>
        <w:p>
          <w:pPr>
            <w:pStyle w:val="16"/>
            <w:tabs>
              <w:tab w:val="right" w:leader="dot" w:pos="8306"/>
              <w:tab w:val="clear" w:pos="8296"/>
            </w:tabs>
          </w:pPr>
          <w:r>
            <w:fldChar w:fldCharType="begin"/>
          </w:r>
          <w:r>
            <w:instrText xml:space="preserve"> HYPERLINK \l _Toc1622 </w:instrText>
          </w:r>
          <w:r>
            <w:fldChar w:fldCharType="separate"/>
          </w:r>
          <w:r>
            <w:rPr>
              <w:rFonts w:hint="eastAsia"/>
            </w:rPr>
            <w:t>附件7：哲学社会科学规划研究培训和基地建设经费绩效自评表</w:t>
          </w:r>
          <w:r>
            <w:tab/>
          </w:r>
          <w:r>
            <w:fldChar w:fldCharType="begin"/>
          </w:r>
          <w:r>
            <w:instrText xml:space="preserve"> PAGEREF _Toc1622 \h </w:instrText>
          </w:r>
          <w:r>
            <w:fldChar w:fldCharType="separate"/>
          </w:r>
          <w:r>
            <w:t>175</w:t>
          </w:r>
          <w:r>
            <w:fldChar w:fldCharType="end"/>
          </w:r>
          <w:r>
            <w:fldChar w:fldCharType="end"/>
          </w:r>
        </w:p>
        <w:p>
          <w:pPr>
            <w:pStyle w:val="16"/>
            <w:tabs>
              <w:tab w:val="right" w:leader="dot" w:pos="8306"/>
              <w:tab w:val="clear" w:pos="8296"/>
            </w:tabs>
          </w:pPr>
          <w:r>
            <w:fldChar w:fldCharType="begin"/>
          </w:r>
          <w:r>
            <w:instrText xml:space="preserve"> HYPERLINK \l _Toc7049 </w:instrText>
          </w:r>
          <w:r>
            <w:fldChar w:fldCharType="separate"/>
          </w:r>
          <w:r>
            <w:rPr>
              <w:rFonts w:hint="eastAsia"/>
            </w:rPr>
            <w:t>附件8：省“扫黄打非”专项绩效自评表</w:t>
          </w:r>
          <w:r>
            <w:tab/>
          </w:r>
          <w:r>
            <w:fldChar w:fldCharType="begin"/>
          </w:r>
          <w:r>
            <w:instrText xml:space="preserve"> PAGEREF _Toc7049 \h </w:instrText>
          </w:r>
          <w:r>
            <w:fldChar w:fldCharType="separate"/>
          </w:r>
          <w:r>
            <w:t>178</w:t>
          </w:r>
          <w:r>
            <w:fldChar w:fldCharType="end"/>
          </w:r>
          <w:r>
            <w:fldChar w:fldCharType="end"/>
          </w:r>
        </w:p>
        <w:p>
          <w:pPr>
            <w:pStyle w:val="16"/>
            <w:tabs>
              <w:tab w:val="right" w:leader="dot" w:pos="8306"/>
              <w:tab w:val="clear" w:pos="8296"/>
            </w:tabs>
          </w:pPr>
          <w:r>
            <w:fldChar w:fldCharType="begin"/>
          </w:r>
          <w:r>
            <w:instrText xml:space="preserve"> HYPERLINK \l _Toc16703 </w:instrText>
          </w:r>
          <w:r>
            <w:fldChar w:fldCharType="separate"/>
          </w:r>
          <w:r>
            <w:rPr>
              <w:rFonts w:hint="eastAsia"/>
            </w:rPr>
            <w:t>附件9：《陇右文库》编纂经费绩效自评表</w:t>
          </w:r>
          <w:r>
            <w:tab/>
          </w:r>
          <w:r>
            <w:fldChar w:fldCharType="begin"/>
          </w:r>
          <w:r>
            <w:instrText xml:space="preserve"> PAGEREF _Toc16703 \h </w:instrText>
          </w:r>
          <w:r>
            <w:fldChar w:fldCharType="separate"/>
          </w:r>
          <w:r>
            <w:t>182</w:t>
          </w:r>
          <w:r>
            <w:fldChar w:fldCharType="end"/>
          </w:r>
          <w:r>
            <w:fldChar w:fldCharType="end"/>
          </w:r>
        </w:p>
        <w:p>
          <w:pPr>
            <w:pStyle w:val="16"/>
            <w:tabs>
              <w:tab w:val="right" w:leader="dot" w:pos="8306"/>
              <w:tab w:val="clear" w:pos="8296"/>
            </w:tabs>
          </w:pPr>
          <w:r>
            <w:fldChar w:fldCharType="begin"/>
          </w:r>
          <w:r>
            <w:instrText xml:space="preserve"> HYPERLINK \l _Toc18590 </w:instrText>
          </w:r>
          <w:r>
            <w:fldChar w:fldCharType="separate"/>
          </w:r>
          <w:r>
            <w:rPr>
              <w:rFonts w:hint="eastAsia"/>
            </w:rPr>
            <w:t>附件10：少数民族教材出版专项绩效自评表</w:t>
          </w:r>
          <w:r>
            <w:tab/>
          </w:r>
          <w:r>
            <w:fldChar w:fldCharType="begin"/>
          </w:r>
          <w:r>
            <w:instrText xml:space="preserve"> PAGEREF _Toc18590 \h </w:instrText>
          </w:r>
          <w:r>
            <w:fldChar w:fldCharType="separate"/>
          </w:r>
          <w:r>
            <w:t>186</w:t>
          </w:r>
          <w:r>
            <w:fldChar w:fldCharType="end"/>
          </w:r>
          <w:r>
            <w:fldChar w:fldCharType="end"/>
          </w:r>
        </w:p>
        <w:p>
          <w:pPr>
            <w:pStyle w:val="16"/>
            <w:tabs>
              <w:tab w:val="right" w:leader="dot" w:pos="8306"/>
              <w:tab w:val="clear" w:pos="8296"/>
            </w:tabs>
          </w:pPr>
          <w:r>
            <w:fldChar w:fldCharType="begin"/>
          </w:r>
          <w:r>
            <w:instrText xml:space="preserve"> HYPERLINK \l _Toc4013 </w:instrText>
          </w:r>
          <w:r>
            <w:fldChar w:fldCharType="separate"/>
          </w:r>
          <w:r>
            <w:rPr>
              <w:rFonts w:hint="eastAsia"/>
            </w:rPr>
            <w:t>附件11：购买公益性演出绩效自评表</w:t>
          </w:r>
          <w:r>
            <w:tab/>
          </w:r>
          <w:r>
            <w:fldChar w:fldCharType="begin"/>
          </w:r>
          <w:r>
            <w:instrText xml:space="preserve"> PAGEREF _Toc4013 \h </w:instrText>
          </w:r>
          <w:r>
            <w:fldChar w:fldCharType="separate"/>
          </w:r>
          <w:r>
            <w:t>189</w:t>
          </w:r>
          <w:r>
            <w:fldChar w:fldCharType="end"/>
          </w:r>
          <w:r>
            <w:fldChar w:fldCharType="end"/>
          </w:r>
        </w:p>
        <w:p>
          <w:pPr>
            <w:pStyle w:val="16"/>
            <w:tabs>
              <w:tab w:val="right" w:leader="dot" w:pos="8306"/>
              <w:tab w:val="clear" w:pos="8296"/>
            </w:tabs>
          </w:pPr>
          <w:r>
            <w:fldChar w:fldCharType="begin"/>
          </w:r>
          <w:r>
            <w:instrText xml:space="preserve"> HYPERLINK \l _Toc3825 </w:instrText>
          </w:r>
          <w:r>
            <w:fldChar w:fldCharType="separate"/>
          </w:r>
          <w:r>
            <w:rPr>
              <w:rFonts w:hint="eastAsia"/>
            </w:rPr>
            <w:t>附件12：影视精品及精品剧目绩效自评表</w:t>
          </w:r>
          <w:r>
            <w:tab/>
          </w:r>
          <w:r>
            <w:fldChar w:fldCharType="begin"/>
          </w:r>
          <w:r>
            <w:instrText xml:space="preserve"> PAGEREF _Toc3825 \h </w:instrText>
          </w:r>
          <w:r>
            <w:fldChar w:fldCharType="separate"/>
          </w:r>
          <w:r>
            <w:t>192</w:t>
          </w:r>
          <w:r>
            <w:fldChar w:fldCharType="end"/>
          </w:r>
          <w:r>
            <w:fldChar w:fldCharType="end"/>
          </w:r>
        </w:p>
        <w:p>
          <w:pPr>
            <w:pStyle w:val="16"/>
            <w:tabs>
              <w:tab w:val="right" w:leader="dot" w:pos="8306"/>
              <w:tab w:val="clear" w:pos="8296"/>
            </w:tabs>
          </w:pPr>
          <w:r>
            <w:fldChar w:fldCharType="begin"/>
          </w:r>
          <w:r>
            <w:instrText xml:space="preserve"> HYPERLINK \l _Toc4096 </w:instrText>
          </w:r>
          <w:r>
            <w:fldChar w:fldCharType="separate"/>
          </w:r>
          <w:r>
            <w:rPr>
              <w:rFonts w:hint="eastAsia"/>
            </w:rPr>
            <w:t>附件13：中国嘉峪关国际短片电影展补助绩效自评表</w:t>
          </w:r>
          <w:r>
            <w:tab/>
          </w:r>
          <w:r>
            <w:fldChar w:fldCharType="begin"/>
          </w:r>
          <w:r>
            <w:instrText xml:space="preserve"> PAGEREF _Toc4096 \h </w:instrText>
          </w:r>
          <w:r>
            <w:fldChar w:fldCharType="separate"/>
          </w:r>
          <w:r>
            <w:t>194</w:t>
          </w:r>
          <w:r>
            <w:fldChar w:fldCharType="end"/>
          </w:r>
          <w:r>
            <w:fldChar w:fldCharType="end"/>
          </w:r>
        </w:p>
        <w:p>
          <w:pPr>
            <w:pStyle w:val="16"/>
            <w:tabs>
              <w:tab w:val="right" w:leader="dot" w:pos="8306"/>
              <w:tab w:val="clear" w:pos="8296"/>
            </w:tabs>
          </w:pPr>
          <w:r>
            <w:fldChar w:fldCharType="begin"/>
          </w:r>
          <w:r>
            <w:instrText xml:space="preserve"> HYPERLINK \l _Toc23471 </w:instrText>
          </w:r>
          <w:r>
            <w:fldChar w:fldCharType="separate"/>
          </w:r>
          <w:r>
            <w:rPr>
              <w:rFonts w:hint="eastAsia"/>
            </w:rPr>
            <w:t>附件14：农村电影公益性放映补贴经费绩效自评表</w:t>
          </w:r>
          <w:r>
            <w:tab/>
          </w:r>
          <w:r>
            <w:fldChar w:fldCharType="begin"/>
          </w:r>
          <w:r>
            <w:instrText xml:space="preserve"> PAGEREF _Toc23471 \h </w:instrText>
          </w:r>
          <w:r>
            <w:fldChar w:fldCharType="separate"/>
          </w:r>
          <w:r>
            <w:t>196</w:t>
          </w:r>
          <w:r>
            <w:fldChar w:fldCharType="end"/>
          </w:r>
          <w:r>
            <w:fldChar w:fldCharType="end"/>
          </w:r>
        </w:p>
        <w:p>
          <w:pPr>
            <w:pStyle w:val="16"/>
            <w:tabs>
              <w:tab w:val="right" w:leader="dot" w:pos="8306"/>
              <w:tab w:val="clear" w:pos="8296"/>
            </w:tabs>
          </w:pPr>
          <w:r>
            <w:fldChar w:fldCharType="begin"/>
          </w:r>
          <w:r>
            <w:instrText xml:space="preserve"> HYPERLINK \l _Toc27070 </w:instrText>
          </w:r>
          <w:r>
            <w:fldChar w:fldCharType="separate"/>
          </w:r>
          <w:r>
            <w:rPr>
              <w:rFonts w:hint="eastAsia"/>
            </w:rPr>
            <w:t>附件15：电影事业发展专项资金绩效自评表</w:t>
          </w:r>
          <w:r>
            <w:tab/>
          </w:r>
          <w:r>
            <w:fldChar w:fldCharType="begin"/>
          </w:r>
          <w:r>
            <w:instrText xml:space="preserve"> PAGEREF _Toc27070 \h </w:instrText>
          </w:r>
          <w:r>
            <w:fldChar w:fldCharType="separate"/>
          </w:r>
          <w:r>
            <w:t>199</w:t>
          </w:r>
          <w:r>
            <w:fldChar w:fldCharType="end"/>
          </w:r>
          <w:r>
            <w:fldChar w:fldCharType="end"/>
          </w:r>
        </w:p>
        <w:p>
          <w:pPr>
            <w:pStyle w:val="16"/>
            <w:tabs>
              <w:tab w:val="right" w:leader="dot" w:pos="8306"/>
              <w:tab w:val="clear" w:pos="8296"/>
            </w:tabs>
          </w:pPr>
          <w:r>
            <w:fldChar w:fldCharType="begin"/>
          </w:r>
          <w:r>
            <w:instrText xml:space="preserve"> HYPERLINK \l _Toc4906 </w:instrText>
          </w:r>
          <w:r>
            <w:fldChar w:fldCharType="separate"/>
          </w:r>
          <w:r>
            <w:rPr>
              <w:rFonts w:hint="eastAsia"/>
            </w:rPr>
            <w:t>附件16：业务费（含学习强国甘肃学习平台建设使用推广培训等）绩效自评表</w:t>
          </w:r>
          <w:r>
            <w:tab/>
          </w:r>
          <w:r>
            <w:fldChar w:fldCharType="begin"/>
          </w:r>
          <w:r>
            <w:instrText xml:space="preserve"> PAGEREF _Toc4906 \h </w:instrText>
          </w:r>
          <w:r>
            <w:fldChar w:fldCharType="separate"/>
          </w:r>
          <w:r>
            <w:t>203</w:t>
          </w:r>
          <w:r>
            <w:fldChar w:fldCharType="end"/>
          </w:r>
          <w:r>
            <w:fldChar w:fldCharType="end"/>
          </w:r>
        </w:p>
        <w:p>
          <w:pPr>
            <w:pStyle w:val="16"/>
            <w:tabs>
              <w:tab w:val="right" w:leader="dot" w:pos="8306"/>
              <w:tab w:val="clear" w:pos="8296"/>
            </w:tabs>
          </w:pPr>
          <w:r>
            <w:fldChar w:fldCharType="begin"/>
          </w:r>
          <w:r>
            <w:instrText xml:space="preserve"> HYPERLINK \l _Toc26444 </w:instrText>
          </w:r>
          <w:r>
            <w:fldChar w:fldCharType="separate"/>
          </w:r>
          <w:r>
            <w:rPr>
              <w:rFonts w:hint="eastAsia"/>
            </w:rPr>
            <w:t>附件17：《党的建设》杂志社办刊补助绩效自评表</w:t>
          </w:r>
          <w:r>
            <w:tab/>
          </w:r>
          <w:r>
            <w:fldChar w:fldCharType="begin"/>
          </w:r>
          <w:r>
            <w:instrText xml:space="preserve"> PAGEREF _Toc26444 \h </w:instrText>
          </w:r>
          <w:r>
            <w:fldChar w:fldCharType="separate"/>
          </w:r>
          <w:r>
            <w:t>206</w:t>
          </w:r>
          <w:r>
            <w:fldChar w:fldCharType="end"/>
          </w:r>
          <w:r>
            <w:fldChar w:fldCharType="end"/>
          </w:r>
        </w:p>
        <w:p>
          <w:pPr>
            <w:pStyle w:val="16"/>
            <w:tabs>
              <w:tab w:val="right" w:leader="dot" w:pos="8306"/>
              <w:tab w:val="clear" w:pos="8296"/>
            </w:tabs>
          </w:pPr>
          <w:r>
            <w:fldChar w:fldCharType="begin"/>
          </w:r>
          <w:r>
            <w:instrText xml:space="preserve"> HYPERLINK \l _Toc22568 </w:instrText>
          </w:r>
          <w:r>
            <w:fldChar w:fldCharType="separate"/>
          </w:r>
          <w:r>
            <w:rPr>
              <w:rFonts w:hint="eastAsia"/>
            </w:rPr>
            <w:t>附件18：精神文明建设重点工作经费绩效自评表</w:t>
          </w:r>
          <w:r>
            <w:tab/>
          </w:r>
          <w:r>
            <w:fldChar w:fldCharType="begin"/>
          </w:r>
          <w:r>
            <w:instrText xml:space="preserve"> PAGEREF _Toc22568 \h </w:instrText>
          </w:r>
          <w:r>
            <w:fldChar w:fldCharType="separate"/>
          </w:r>
          <w:r>
            <w:t>210</w:t>
          </w:r>
          <w:r>
            <w:fldChar w:fldCharType="end"/>
          </w:r>
          <w:r>
            <w:fldChar w:fldCharType="end"/>
          </w:r>
        </w:p>
        <w:p>
          <w:pPr>
            <w:pStyle w:val="16"/>
            <w:tabs>
              <w:tab w:val="right" w:leader="dot" w:pos="8306"/>
              <w:tab w:val="clear" w:pos="8296"/>
            </w:tabs>
          </w:pPr>
          <w:r>
            <w:fldChar w:fldCharType="begin"/>
          </w:r>
          <w:r>
            <w:instrText xml:space="preserve"> HYPERLINK \l _Toc25214 </w:instrText>
          </w:r>
          <w:r>
            <w:fldChar w:fldCharType="separate"/>
          </w:r>
          <w:r>
            <w:rPr>
              <w:rFonts w:hint="eastAsia"/>
            </w:rPr>
            <w:t>附件19：长征长城黄河公园建设及省级文化产业发展改革专项绩效自评表</w:t>
          </w:r>
          <w:r>
            <w:tab/>
          </w:r>
          <w:r>
            <w:fldChar w:fldCharType="begin"/>
          </w:r>
          <w:r>
            <w:instrText xml:space="preserve"> PAGEREF _Toc25214 \h </w:instrText>
          </w:r>
          <w:r>
            <w:fldChar w:fldCharType="separate"/>
          </w:r>
          <w:r>
            <w:t>213</w:t>
          </w:r>
          <w:r>
            <w:fldChar w:fldCharType="end"/>
          </w:r>
          <w:r>
            <w:fldChar w:fldCharType="end"/>
          </w:r>
        </w:p>
        <w:p>
          <w:pPr>
            <w:pStyle w:val="16"/>
            <w:tabs>
              <w:tab w:val="right" w:leader="dot" w:pos="8306"/>
              <w:tab w:val="clear" w:pos="8296"/>
            </w:tabs>
          </w:pPr>
          <w:r>
            <w:fldChar w:fldCharType="begin"/>
          </w:r>
          <w:r>
            <w:instrText xml:space="preserve"> HYPERLINK \l _Toc32424 </w:instrText>
          </w:r>
          <w:r>
            <w:fldChar w:fldCharType="separate"/>
          </w:r>
          <w:r>
            <w:rPr>
              <w:rFonts w:hint="eastAsia"/>
            </w:rPr>
            <w:t>附件20：优秀图书、音像制品及电子出版物奖评选专项经费（一次性）绩效自评表</w:t>
          </w:r>
          <w:r>
            <w:tab/>
          </w:r>
          <w:r>
            <w:fldChar w:fldCharType="begin"/>
          </w:r>
          <w:r>
            <w:instrText xml:space="preserve"> PAGEREF _Toc32424 \h </w:instrText>
          </w:r>
          <w:r>
            <w:fldChar w:fldCharType="separate"/>
          </w:r>
          <w:r>
            <w:t>216</w:t>
          </w:r>
          <w:r>
            <w:fldChar w:fldCharType="end"/>
          </w:r>
          <w:r>
            <w:fldChar w:fldCharType="end"/>
          </w:r>
        </w:p>
        <w:p>
          <w:pPr>
            <w:pStyle w:val="16"/>
            <w:tabs>
              <w:tab w:val="right" w:leader="dot" w:pos="8306"/>
              <w:tab w:val="clear" w:pos="8296"/>
            </w:tabs>
          </w:pPr>
          <w:r>
            <w:fldChar w:fldCharType="begin"/>
          </w:r>
          <w:r>
            <w:instrText xml:space="preserve"> HYPERLINK \l _Toc17109 </w:instrText>
          </w:r>
          <w:r>
            <w:fldChar w:fldCharType="separate"/>
          </w:r>
          <w:r>
            <w:rPr>
              <w:rFonts w:hint="eastAsia"/>
            </w:rPr>
            <w:t>附件21：敦煌文艺奖评选经费（一次性）绩效自评表</w:t>
          </w:r>
          <w:r>
            <w:tab/>
          </w:r>
          <w:r>
            <w:fldChar w:fldCharType="begin"/>
          </w:r>
          <w:r>
            <w:instrText xml:space="preserve"> PAGEREF _Toc17109 \h </w:instrText>
          </w:r>
          <w:r>
            <w:fldChar w:fldCharType="separate"/>
          </w:r>
          <w:r>
            <w:t>218</w:t>
          </w:r>
          <w:r>
            <w:fldChar w:fldCharType="end"/>
          </w:r>
          <w:r>
            <w:fldChar w:fldCharType="end"/>
          </w:r>
        </w:p>
        <w:p>
          <w:pPr>
            <w:pStyle w:val="16"/>
            <w:tabs>
              <w:tab w:val="right" w:leader="dot" w:pos="8306"/>
              <w:tab w:val="clear" w:pos="8296"/>
            </w:tabs>
          </w:pPr>
          <w:r>
            <w:fldChar w:fldCharType="begin"/>
          </w:r>
          <w:r>
            <w:instrText xml:space="preserve"> HYPERLINK \l _Toc3521 </w:instrText>
          </w:r>
          <w:r>
            <w:fldChar w:fldCharType="separate"/>
          </w:r>
          <w:r>
            <w:rPr>
              <w:rFonts w:hint="eastAsia"/>
            </w:rPr>
            <w:t>附件22：公共文化服务建设体系建设专项（农家书屋）绩效自评表</w:t>
          </w:r>
          <w:r>
            <w:tab/>
          </w:r>
          <w:r>
            <w:fldChar w:fldCharType="begin"/>
          </w:r>
          <w:r>
            <w:instrText xml:space="preserve"> PAGEREF _Toc3521 \h </w:instrText>
          </w:r>
          <w:r>
            <w:fldChar w:fldCharType="separate"/>
          </w:r>
          <w:r>
            <w:t>221</w:t>
          </w:r>
          <w:r>
            <w:fldChar w:fldCharType="end"/>
          </w:r>
          <w:r>
            <w:fldChar w:fldCharType="end"/>
          </w:r>
        </w:p>
        <w:p>
          <w:pPr>
            <w:pStyle w:val="16"/>
            <w:tabs>
              <w:tab w:val="right" w:leader="dot" w:pos="8306"/>
              <w:tab w:val="clear" w:pos="8296"/>
            </w:tabs>
          </w:pPr>
          <w:r>
            <w:fldChar w:fldCharType="begin"/>
          </w:r>
          <w:r>
            <w:instrText xml:space="preserve"> HYPERLINK \l _Toc595 </w:instrText>
          </w:r>
          <w:r>
            <w:fldChar w:fldCharType="separate"/>
          </w:r>
          <w:r>
            <w:rPr>
              <w:rFonts w:hint="eastAsia"/>
            </w:rPr>
            <w:t>附件23：“一带一路”美丽乡村论坛办会经费绩效自评表</w:t>
          </w:r>
          <w:r>
            <w:tab/>
          </w:r>
          <w:r>
            <w:fldChar w:fldCharType="begin"/>
          </w:r>
          <w:r>
            <w:instrText xml:space="preserve"> PAGEREF _Toc595 \h </w:instrText>
          </w:r>
          <w:r>
            <w:fldChar w:fldCharType="separate"/>
          </w:r>
          <w:r>
            <w:t>224</w:t>
          </w:r>
          <w:r>
            <w:fldChar w:fldCharType="end"/>
          </w:r>
          <w:r>
            <w:fldChar w:fldCharType="end"/>
          </w:r>
        </w:p>
        <w:p>
          <w:pPr>
            <w:pStyle w:val="16"/>
            <w:tabs>
              <w:tab w:val="right" w:leader="dot" w:pos="8306"/>
              <w:tab w:val="clear" w:pos="8296"/>
            </w:tabs>
          </w:pPr>
          <w:r>
            <w:fldChar w:fldCharType="begin"/>
          </w:r>
          <w:r>
            <w:instrText xml:space="preserve"> HYPERLINK \l _Toc4489 </w:instrText>
          </w:r>
          <w:r>
            <w:fldChar w:fldCharType="separate"/>
          </w:r>
          <w:r>
            <w:rPr>
              <w:rFonts w:hint="eastAsia"/>
            </w:rPr>
            <w:t>附件24：2021年“一会一节”省级办会专项经费绩效自评表</w:t>
          </w:r>
          <w:r>
            <w:tab/>
          </w:r>
          <w:r>
            <w:fldChar w:fldCharType="begin"/>
          </w:r>
          <w:r>
            <w:instrText xml:space="preserve"> PAGEREF _Toc4489 \h </w:instrText>
          </w:r>
          <w:r>
            <w:fldChar w:fldCharType="separate"/>
          </w:r>
          <w:r>
            <w:t>228</w:t>
          </w:r>
          <w:r>
            <w:fldChar w:fldCharType="end"/>
          </w:r>
          <w:r>
            <w:fldChar w:fldCharType="end"/>
          </w:r>
        </w:p>
        <w:p>
          <w:pPr>
            <w:pStyle w:val="16"/>
            <w:tabs>
              <w:tab w:val="right" w:leader="dot" w:pos="8306"/>
              <w:tab w:val="clear" w:pos="8296"/>
            </w:tabs>
          </w:pPr>
          <w:r>
            <w:fldChar w:fldCharType="begin"/>
          </w:r>
          <w:r>
            <w:instrText xml:space="preserve"> HYPERLINK \l _Toc5715 </w:instrText>
          </w:r>
          <w:r>
            <w:fldChar w:fldCharType="separate"/>
          </w:r>
          <w:r>
            <w:rPr>
              <w:rFonts w:hint="eastAsia"/>
            </w:rPr>
            <w:t>附件25：党史学习教育专项补助经费绩效自评表</w:t>
          </w:r>
          <w:r>
            <w:tab/>
          </w:r>
          <w:r>
            <w:fldChar w:fldCharType="begin"/>
          </w:r>
          <w:r>
            <w:instrText xml:space="preserve"> PAGEREF _Toc5715 \h </w:instrText>
          </w:r>
          <w:r>
            <w:fldChar w:fldCharType="separate"/>
          </w:r>
          <w:r>
            <w:t>230</w:t>
          </w:r>
          <w:r>
            <w:fldChar w:fldCharType="end"/>
          </w:r>
          <w:r>
            <w:fldChar w:fldCharType="end"/>
          </w:r>
        </w:p>
        <w:p>
          <w:pPr>
            <w:pStyle w:val="16"/>
            <w:tabs>
              <w:tab w:val="right" w:leader="dot" w:pos="8306"/>
              <w:tab w:val="clear" w:pos="8296"/>
            </w:tabs>
          </w:pPr>
          <w:r>
            <w:fldChar w:fldCharType="begin"/>
          </w:r>
          <w:r>
            <w:instrText xml:space="preserve"> HYPERLINK \l _Toc17702 </w:instrText>
          </w:r>
          <w:r>
            <w:fldChar w:fldCharType="separate"/>
          </w:r>
          <w:r>
            <w:rPr>
              <w:rFonts w:hint="eastAsia"/>
            </w:rPr>
            <w:t>附件26：建党100周年宣传活动经费绩效自评表</w:t>
          </w:r>
          <w:r>
            <w:tab/>
          </w:r>
          <w:r>
            <w:fldChar w:fldCharType="begin"/>
          </w:r>
          <w:r>
            <w:instrText xml:space="preserve"> PAGEREF _Toc17702 \h </w:instrText>
          </w:r>
          <w:r>
            <w:fldChar w:fldCharType="separate"/>
          </w:r>
          <w:r>
            <w:t>233</w:t>
          </w:r>
          <w:r>
            <w:fldChar w:fldCharType="end"/>
          </w:r>
          <w:r>
            <w:fldChar w:fldCharType="end"/>
          </w:r>
        </w:p>
        <w:p>
          <w:pPr>
            <w:pStyle w:val="16"/>
            <w:tabs>
              <w:tab w:val="right" w:leader="dot" w:pos="8306"/>
              <w:tab w:val="clear" w:pos="8296"/>
            </w:tabs>
          </w:pPr>
          <w:r>
            <w:fldChar w:fldCharType="begin"/>
          </w:r>
          <w:r>
            <w:instrText xml:space="preserve"> HYPERLINK \l _Toc17353 </w:instrText>
          </w:r>
          <w:r>
            <w:fldChar w:fldCharType="separate"/>
          </w:r>
          <w:r>
            <w:rPr>
              <w:rFonts w:hint="eastAsia"/>
            </w:rPr>
            <w:t>附件27：甘肃演艺集团转企事业费绩效自评表</w:t>
          </w:r>
          <w:r>
            <w:tab/>
          </w:r>
          <w:r>
            <w:fldChar w:fldCharType="begin"/>
          </w:r>
          <w:r>
            <w:instrText xml:space="preserve"> PAGEREF _Toc17353 \h </w:instrText>
          </w:r>
          <w:r>
            <w:fldChar w:fldCharType="separate"/>
          </w:r>
          <w:r>
            <w:t>236</w:t>
          </w:r>
          <w:r>
            <w:fldChar w:fldCharType="end"/>
          </w:r>
          <w:r>
            <w:fldChar w:fldCharType="end"/>
          </w:r>
        </w:p>
        <w:p>
          <w:pPr>
            <w:pStyle w:val="16"/>
            <w:tabs>
              <w:tab w:val="right" w:leader="dot" w:pos="8306"/>
              <w:tab w:val="clear" w:pos="8296"/>
            </w:tabs>
          </w:pPr>
          <w:r>
            <w:fldChar w:fldCharType="begin"/>
          </w:r>
          <w:r>
            <w:instrText xml:space="preserve"> HYPERLINK \l _Toc7800 </w:instrText>
          </w:r>
          <w:r>
            <w:fldChar w:fldCharType="separate"/>
          </w:r>
          <w:r>
            <w:rPr>
              <w:rFonts w:hint="eastAsia"/>
            </w:rPr>
            <w:t>附件28：疫情防控宣传报道补助经费绩效自评表</w:t>
          </w:r>
          <w:r>
            <w:tab/>
          </w:r>
          <w:r>
            <w:fldChar w:fldCharType="begin"/>
          </w:r>
          <w:r>
            <w:instrText xml:space="preserve"> PAGEREF _Toc7800 \h </w:instrText>
          </w:r>
          <w:r>
            <w:fldChar w:fldCharType="separate"/>
          </w:r>
          <w:r>
            <w:t>238</w:t>
          </w:r>
          <w:r>
            <w:fldChar w:fldCharType="end"/>
          </w:r>
          <w:r>
            <w:fldChar w:fldCharType="end"/>
          </w:r>
        </w:p>
        <w:p>
          <w:pPr>
            <w:ind w:firstLine="0" w:firstLineChars="0"/>
          </w:pPr>
          <w:r>
            <w:fldChar w:fldCharType="end"/>
          </w:r>
        </w:p>
      </w:sdtContent>
    </w:sdt>
    <w:p>
      <w:pPr>
        <w:widowControl/>
        <w:ind w:firstLine="0" w:firstLineChars="0"/>
        <w:jc w:val="left"/>
        <w:rPr>
          <w:rFonts w:hAnsi="宋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81" w:charSpace="0"/>
        </w:sectPr>
      </w:pPr>
      <w:bookmarkStart w:id="0" w:name="_Toc40046020"/>
    </w:p>
    <w:p>
      <w:pPr>
        <w:pStyle w:val="2"/>
      </w:pPr>
      <w:bookmarkStart w:id="1" w:name="_Toc30302"/>
      <w:bookmarkStart w:id="2" w:name="_Toc8812"/>
      <w:r>
        <w:rPr>
          <w:rFonts w:hint="eastAsia"/>
        </w:rPr>
        <w:t>一、基本情况</w:t>
      </w:r>
      <w:bookmarkEnd w:id="0"/>
      <w:bookmarkEnd w:id="1"/>
      <w:bookmarkEnd w:id="2"/>
    </w:p>
    <w:p>
      <w:pPr>
        <w:pStyle w:val="3"/>
        <w:ind w:firstLine="643"/>
      </w:pPr>
      <w:bookmarkStart w:id="3" w:name="_Toc21435"/>
      <w:bookmarkStart w:id="4" w:name="_Toc40046021"/>
      <w:bookmarkStart w:id="5" w:name="_Toc17663"/>
      <w:r>
        <w:rPr>
          <w:rFonts w:hint="eastAsia"/>
        </w:rPr>
        <w:t>（一）部门主要职能</w:t>
      </w:r>
      <w:bookmarkEnd w:id="3"/>
      <w:bookmarkEnd w:id="4"/>
      <w:bookmarkEnd w:id="5"/>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省委宣传部是省委主管意识形态方面工作的职能部门，为正部级，加挂省政府新闻办公室、省新闻出版局、省版权局、省电影局牌子。</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注：根据国家保密法律法规和有关保密事项范围的规定，省委宣传部主要职责为涉密信息，不予公开。</w:t>
      </w:r>
    </w:p>
    <w:p>
      <w:pPr>
        <w:pStyle w:val="3"/>
        <w:ind w:firstLine="643"/>
      </w:pPr>
      <w:bookmarkStart w:id="6" w:name="_Toc30897"/>
      <w:bookmarkStart w:id="7" w:name="_Toc5196"/>
      <w:bookmarkStart w:id="8" w:name="_Toc40046023"/>
      <w:r>
        <w:rPr>
          <w:rFonts w:hint="eastAsia"/>
        </w:rPr>
        <w:t>（二）内设机构及所属</w:t>
      </w:r>
      <w:bookmarkEnd w:id="6"/>
      <w:r>
        <w:rPr>
          <w:rFonts w:hint="eastAsia"/>
        </w:rPr>
        <w:t>单位概况</w:t>
      </w:r>
      <w:bookmarkEnd w:id="7"/>
    </w:p>
    <w:p>
      <w:pPr>
        <w:pStyle w:val="4"/>
        <w:ind w:firstLine="562"/>
      </w:pPr>
      <w:r>
        <w:rPr>
          <w:rFonts w:hint="eastAsia"/>
        </w:rPr>
        <w:t>1、机关内设机构</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我部机关内设19个职能处室：办公室、政策法规研究室、意识形态工作处（省委意识形态工作责任制专项巡视工作办公室）、理论教育处（省哲学社会科学规划办公室）、新闻处、舆情应急处（总值班室）、出版管理处（省古籍整理出版规划办公室）、文化艺术处、宣传教育处（省国防教育委员会办公室）、文化发展改革处（省委文化体制改革办公室）、新闻发布处、对外新闻处、对外推广处、电影处、传媒监管处、印刷发行处、反非法反违禁处（省“扫黄打非”办公室）、版权管理处、干部管理处（人才工作处），另设有直属机关党委。</w:t>
      </w:r>
    </w:p>
    <w:p>
      <w:pPr>
        <w:pStyle w:val="4"/>
        <w:ind w:firstLine="562"/>
      </w:pPr>
      <w:r>
        <w:rPr>
          <w:rFonts w:hint="eastAsia"/>
        </w:rPr>
        <w:t>2、直属事业单位</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省委宣传部直属事业单位6个：省委宣传部舆情研究中心、甘肃省文化产业经营管理中心、省委宣传部信息技术中心、甘肃省出版物审读中心、甘肃省农家书屋建设管理办公室、甘肃省委《党的建设》杂志社。</w:t>
      </w:r>
    </w:p>
    <w:p>
      <w:pPr>
        <w:pStyle w:val="4"/>
        <w:ind w:firstLine="562"/>
      </w:pPr>
      <w:r>
        <w:rPr>
          <w:rFonts w:hint="eastAsia"/>
        </w:rPr>
        <w:t>3、参照公务员法管理的事业单位</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参照公务员法管理的事业单位1个：省委讲师团。</w:t>
      </w:r>
    </w:p>
    <w:p>
      <w:pPr>
        <w:pStyle w:val="4"/>
        <w:ind w:firstLine="562"/>
      </w:pPr>
      <w:r>
        <w:rPr>
          <w:rFonts w:hint="eastAsia"/>
        </w:rPr>
        <w:t>4、其他行政单位</w:t>
      </w:r>
    </w:p>
    <w:p>
      <w:pPr>
        <w:ind w:firstLine="56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其他行政单位1个：甘肃省文明办。</w:t>
      </w:r>
    </w:p>
    <w:p>
      <w:pPr>
        <w:pStyle w:val="2"/>
      </w:pPr>
      <w:bookmarkStart w:id="9" w:name="_Toc31117"/>
      <w:bookmarkStart w:id="10" w:name="_Toc9544"/>
      <w:r>
        <w:rPr>
          <w:rFonts w:hint="eastAsia"/>
        </w:rPr>
        <w:t>二、绩效自评工作组织开展情况</w:t>
      </w:r>
      <w:bookmarkEnd w:id="9"/>
      <w:bookmarkEnd w:id="10"/>
      <w:bookmarkStart w:id="11" w:name="_Toc40046024"/>
    </w:p>
    <w:p>
      <w:pPr>
        <w:pStyle w:val="3"/>
        <w:ind w:firstLine="643"/>
      </w:pPr>
      <w:bookmarkStart w:id="12" w:name="_Toc22222"/>
      <w:bookmarkStart w:id="13" w:name="_Toc10141"/>
      <w:bookmarkStart w:id="14" w:name="_Toc16982"/>
      <w:bookmarkStart w:id="15" w:name="_Toc12833"/>
      <w:bookmarkStart w:id="16" w:name="_Toc5423"/>
      <w:r>
        <w:rPr>
          <w:rFonts w:hint="eastAsia"/>
        </w:rPr>
        <w:t>（一）工作组织管理</w:t>
      </w:r>
      <w:bookmarkEnd w:id="12"/>
      <w:bookmarkEnd w:id="13"/>
      <w:bookmarkEnd w:id="14"/>
      <w:bookmarkEnd w:id="15"/>
    </w:p>
    <w:p>
      <w:pPr>
        <w:pStyle w:val="4"/>
        <w:ind w:firstLine="562"/>
      </w:pPr>
      <w:r>
        <w:rPr>
          <w:rFonts w:hint="eastAsia"/>
        </w:rPr>
        <w:t>1、现场指导</w:t>
      </w:r>
    </w:p>
    <w:p>
      <w:pPr>
        <w:ind w:firstLine="560"/>
      </w:pPr>
      <w:r>
        <w:rPr>
          <w:rFonts w:hint="eastAsia"/>
        </w:rPr>
        <w:t>针对本次绩效自评工作要求，我部组织各自评单位及项目主管处室对照2021年度预算申报时确定的绩效目标，对2021年度部门整体支出及各类项目开展绩效自评，按规定格式模板撰写绩效自评报告、填报《2021年度省级预算执行情况绩效自评报表》；并通过“省财政厅预算绩效管理系统”进行数据填报、上传自评佐证材料及送审。采用现场指导的方式对各单位绩效自评工作给予指导，重点对部门及项目绩效自评表的填写格式、指标权重设计、内容填写、自评报告的撰写及佐证资料进行指导说明，同时明确此次绩效自评工作需形成相关佐证材料，供绩效复核评价时查阅，以保障此次绩效自评工作的质量及完成的及时性。</w:t>
      </w:r>
    </w:p>
    <w:p>
      <w:pPr>
        <w:pStyle w:val="4"/>
        <w:ind w:firstLine="562"/>
      </w:pPr>
      <w:r>
        <w:rPr>
          <w:rFonts w:hint="eastAsia"/>
        </w:rPr>
        <w:t>2、资料整理分析</w:t>
      </w:r>
    </w:p>
    <w:p>
      <w:pPr>
        <w:ind w:firstLine="560"/>
      </w:pPr>
      <w:r>
        <w:rPr>
          <w:rFonts w:hint="eastAsia"/>
        </w:rPr>
        <w:t>一是根据收集的绩效自评表和相关佐证资料，将二者进行详细对比，确保数据统一完整，对应绩效自评表中每个指标的完成情况及偏离原因，并将佐证资料归类整理。二是对2021年度我部部门整体预算资金安排情况，与相关处室及单位进行有效对接，对资金使用情况、项目实施开展情况等资料进行汇总、整理。三是</w:t>
      </w:r>
      <w:r>
        <w:rPr>
          <w:rFonts w:hint="eastAsia" w:cs="仿宋_GB2312"/>
          <w:kern w:val="0"/>
          <w:szCs w:val="32"/>
        </w:rPr>
        <w:t>采用科学合理的方法对收集到的数据进行分析。首先对数据进行分类，根据</w:t>
      </w:r>
      <w:r>
        <w:rPr>
          <w:rFonts w:hint="eastAsia" w:cs="仿宋_GB2312"/>
          <w:szCs w:val="32"/>
        </w:rPr>
        <w:t>绩效自评表</w:t>
      </w:r>
      <w:r>
        <w:rPr>
          <w:rFonts w:hint="eastAsia" w:cs="仿宋_GB2312"/>
          <w:kern w:val="0"/>
          <w:szCs w:val="32"/>
        </w:rPr>
        <w:t>中的每项指标要求，对数据进行分类。其次对数据进行选取，从不同来源收集的资料中选取有效、真实、可有力支撑同一绩效评价指标的数据，进行综合分析，</w:t>
      </w:r>
      <w:r>
        <w:rPr>
          <w:rFonts w:hint="eastAsia"/>
        </w:rPr>
        <w:t>并对其中偏离目标的原因进行分析，明确进一步改进措施，为后续工作开展提供指导与经验。</w:t>
      </w:r>
    </w:p>
    <w:p>
      <w:pPr>
        <w:pStyle w:val="4"/>
        <w:ind w:firstLine="562"/>
      </w:pPr>
      <w:r>
        <w:rPr>
          <w:rFonts w:hint="eastAsia"/>
        </w:rPr>
        <w:t>3、绩效自评打分</w:t>
      </w:r>
    </w:p>
    <w:p>
      <w:pPr>
        <w:ind w:firstLine="560"/>
      </w:pPr>
      <w:r>
        <w:rPr>
          <w:rFonts w:hint="eastAsia"/>
        </w:rPr>
        <w:t>我部通过对收集资料的整理分析，进行绩效自评打分，形成《2021年中共甘肃省委宣传部部门整体支出绩效自评表》《2021年中共甘肃省委宣传部部门预算项目支出绩效自评表》。部门整体与项目绩效自评价结果根据《甘肃省财政厅关于印发&lt;甘肃省省级预算绩效管理办法&gt;等6个办法和规程的通知》（甘财绩〔2020〕5号）文要求，采用评分和评级相结合的方式，总分设置为100分，等级一般划分为四档：90分（含）-100分为“优”、80分（含）-90分为“良”、60分（含）-80分为“中”、60分以下为“差”。</w:t>
      </w:r>
    </w:p>
    <w:p>
      <w:pPr>
        <w:pStyle w:val="4"/>
        <w:ind w:firstLine="562"/>
      </w:pPr>
      <w:r>
        <w:rPr>
          <w:rFonts w:hint="eastAsia"/>
        </w:rPr>
        <w:t>4、撰写绩效自评报告</w:t>
      </w:r>
    </w:p>
    <w:p>
      <w:pPr>
        <w:ind w:firstLine="560"/>
      </w:pPr>
      <w:r>
        <w:rPr>
          <w:rFonts w:hint="eastAsia" w:hAnsi="Georgia" w:cs="仿宋_GB2312"/>
          <w:kern w:val="0"/>
          <w:szCs w:val="32"/>
        </w:rPr>
        <w:t>根据绩效自评结果，结合各项数据资料，对我部2021年度部门整体预算执行情况、部门预算项目实施情况进行综合分析，按要求撰写形成《2021年度中共甘肃省委宣传部预算执行情况绩效自评报告》。</w:t>
      </w:r>
    </w:p>
    <w:p>
      <w:pPr>
        <w:pStyle w:val="4"/>
        <w:ind w:firstLine="562"/>
      </w:pPr>
      <w:bookmarkStart w:id="17" w:name="_Toc30289"/>
      <w:bookmarkStart w:id="18" w:name="_Toc65230988"/>
      <w:r>
        <w:rPr>
          <w:rFonts w:hint="eastAsia"/>
        </w:rPr>
        <w:t>5、审核报送</w:t>
      </w:r>
      <w:bookmarkEnd w:id="17"/>
      <w:bookmarkEnd w:id="18"/>
    </w:p>
    <w:p>
      <w:pPr>
        <w:ind w:firstLine="560"/>
      </w:pPr>
      <w:r>
        <w:rPr>
          <w:rFonts w:hint="eastAsia" w:hAnsi="宋体"/>
          <w:color w:val="000000" w:themeColor="text1"/>
          <w14:textFill>
            <w14:solidFill>
              <w14:schemeClr w14:val="tx1"/>
            </w14:solidFill>
          </w14:textFill>
        </w:rPr>
        <w:t>自评表和自评报告完成之后，由各个业务部门进行内部审核，对自评表的真实性、完整性、合理性和客观性进行初步审核，对发现的问题及时反馈和修改，修改完善后报送省财政厅审核备案。</w:t>
      </w:r>
    </w:p>
    <w:p>
      <w:pPr>
        <w:pStyle w:val="3"/>
        <w:ind w:firstLine="643"/>
      </w:pPr>
      <w:bookmarkStart w:id="19" w:name="_Toc19433"/>
      <w:r>
        <w:rPr>
          <w:rFonts w:hint="eastAsia"/>
        </w:rPr>
        <w:t>（二）自评对象和范围</w:t>
      </w:r>
      <w:bookmarkEnd w:id="11"/>
      <w:bookmarkEnd w:id="16"/>
      <w:bookmarkEnd w:id="19"/>
    </w:p>
    <w:p>
      <w:pPr>
        <w:ind w:firstLine="560"/>
      </w:pPr>
      <w:r>
        <w:rPr>
          <w:rFonts w:hint="eastAsia" w:hAnsi="宋体"/>
          <w:color w:val="000000" w:themeColor="text1"/>
          <w14:textFill>
            <w14:solidFill>
              <w14:schemeClr w14:val="tx1"/>
            </w14:solidFill>
          </w14:textFill>
        </w:rPr>
        <w:t>本次预算绩效自评价，按照省级部门项目支出、省对市县转移支付、部门整体支出三类</w:t>
      </w:r>
      <w:r>
        <w:rPr>
          <w:rFonts w:hint="eastAsia"/>
        </w:rPr>
        <w:t>评价对象全覆盖的原则，结合我部门</w:t>
      </w:r>
      <w:r>
        <w:t>202</w:t>
      </w:r>
      <w:r>
        <w:rPr>
          <w:rFonts w:hint="eastAsia"/>
        </w:rPr>
        <w:t>1</w:t>
      </w:r>
      <w:r>
        <w:t>年度实际情况，自评所有对象为</w:t>
      </w:r>
      <w:r>
        <w:rPr>
          <w:rFonts w:hint="eastAsia"/>
        </w:rPr>
        <w:t>业务费、宣传文化发展专项（含文化精品创作生产、“十个一”文化品牌工程）、培训费、调研费、业务费延安精神研究工作经费等20个预算</w:t>
      </w:r>
      <w:r>
        <w:t>项目自评</w:t>
      </w:r>
      <w:r>
        <w:rPr>
          <w:rFonts w:hint="eastAsia"/>
        </w:rPr>
        <w:t>及“一带一路”美丽乡村论坛办会经费、2021年“一会一节”省级办会专项经费、党史学习教育专项补助经费等6个年中追加预算项目自评</w:t>
      </w:r>
      <w:r>
        <w:t>和</w:t>
      </w:r>
      <w:r>
        <w:rPr>
          <w:rFonts w:hint="eastAsia"/>
        </w:rPr>
        <w:t>部门</w:t>
      </w:r>
      <w:r>
        <w:t>整体支出自评</w:t>
      </w:r>
      <w:r>
        <w:rPr>
          <w:rFonts w:hint="eastAsia"/>
        </w:rPr>
        <w:t>。</w:t>
      </w:r>
    </w:p>
    <w:bookmarkEnd w:id="8"/>
    <w:p>
      <w:pPr>
        <w:pStyle w:val="3"/>
        <w:ind w:firstLine="643"/>
      </w:pPr>
      <w:bookmarkStart w:id="20" w:name="_Toc18984"/>
      <w:bookmarkStart w:id="21" w:name="_Toc12463"/>
      <w:bookmarkStart w:id="22" w:name="_Toc1931"/>
      <w:bookmarkStart w:id="23" w:name="_Toc618"/>
      <w:bookmarkStart w:id="24" w:name="_Toc15226"/>
      <w:bookmarkStart w:id="25" w:name="_Toc15295"/>
      <w:bookmarkStart w:id="26" w:name="_Toc15970"/>
      <w:bookmarkStart w:id="27" w:name="_Toc40046025"/>
      <w:r>
        <w:rPr>
          <w:rFonts w:hint="eastAsia"/>
        </w:rPr>
        <w:t>（三）绩效评价依据</w:t>
      </w:r>
      <w:bookmarkEnd w:id="20"/>
      <w:bookmarkEnd w:id="21"/>
      <w:bookmarkEnd w:id="22"/>
      <w:bookmarkEnd w:id="23"/>
      <w:bookmarkEnd w:id="24"/>
      <w:bookmarkEnd w:id="25"/>
    </w:p>
    <w:p>
      <w:pPr>
        <w:ind w:firstLine="560"/>
        <w:rPr>
          <w:rFonts w:hAnsi="宋体"/>
          <w:color w:val="000000"/>
        </w:rPr>
      </w:pPr>
      <w:r>
        <w:rPr>
          <w:rFonts w:hint="eastAsia" w:hAnsi="宋体"/>
          <w:color w:val="000000"/>
        </w:rPr>
        <w:t>1、《中华人民共和国预算法》;</w:t>
      </w:r>
    </w:p>
    <w:p>
      <w:pPr>
        <w:ind w:firstLine="560"/>
        <w:rPr>
          <w:rFonts w:hAnsi="宋体"/>
          <w:color w:val="000000"/>
        </w:rPr>
      </w:pPr>
      <w:r>
        <w:rPr>
          <w:rFonts w:hint="eastAsia" w:hAnsi="宋体"/>
          <w:color w:val="000000"/>
        </w:rPr>
        <w:t>2、《关于全面实施预算绩效管理的意见》（中发〔2018〕34号）；</w:t>
      </w:r>
    </w:p>
    <w:p>
      <w:pPr>
        <w:ind w:firstLine="560"/>
        <w:rPr>
          <w:rFonts w:hAnsi="宋体"/>
          <w:color w:val="000000"/>
        </w:rPr>
      </w:pPr>
      <w:r>
        <w:rPr>
          <w:rFonts w:hint="eastAsia" w:hAnsi="宋体"/>
          <w:color w:val="000000"/>
        </w:rPr>
        <w:t>3、《关于印发&lt;项目支出绩效评价管理办法&gt;的通知》（财预〔2020〕10号）；</w:t>
      </w:r>
    </w:p>
    <w:p>
      <w:pPr>
        <w:ind w:firstLine="560"/>
        <w:rPr>
          <w:rFonts w:hAnsi="宋体"/>
          <w:color w:val="000000"/>
        </w:rPr>
      </w:pPr>
      <w:r>
        <w:rPr>
          <w:rFonts w:hint="eastAsia" w:hAnsi="宋体"/>
          <w:color w:val="000000"/>
        </w:rPr>
        <w:t>4、《关于贯彻落实&lt;中共中央国务院关于全面实施预算绩效管理的意见&gt;的通知》（财预〔2018〕167号）；</w:t>
      </w:r>
    </w:p>
    <w:p>
      <w:pPr>
        <w:ind w:firstLine="560"/>
        <w:rPr>
          <w:rFonts w:hAnsi="宋体"/>
          <w:color w:val="000000"/>
        </w:rPr>
      </w:pPr>
      <w:r>
        <w:rPr>
          <w:rFonts w:hint="eastAsia" w:hAnsi="宋体"/>
          <w:color w:val="000000"/>
        </w:rPr>
        <w:t>5、《中央部门预算绩效运行监控管理暂行办法》（财预〔2019〕136号）；</w:t>
      </w:r>
    </w:p>
    <w:p>
      <w:pPr>
        <w:ind w:firstLine="560"/>
        <w:rPr>
          <w:rFonts w:hAnsi="宋体"/>
          <w:color w:val="000000"/>
        </w:rPr>
      </w:pPr>
      <w:r>
        <w:rPr>
          <w:rFonts w:hint="eastAsia" w:hAnsi="宋体"/>
          <w:color w:val="000000"/>
        </w:rPr>
        <w:t>6、《关于全面实施预算绩效管理的实施意见》（甘发〔2018〕32号）；</w:t>
      </w:r>
    </w:p>
    <w:p>
      <w:pPr>
        <w:ind w:firstLine="560"/>
        <w:rPr>
          <w:rFonts w:hAnsi="宋体"/>
          <w:color w:val="000000"/>
        </w:rPr>
      </w:pPr>
      <w:r>
        <w:rPr>
          <w:rFonts w:hint="eastAsia" w:hAnsi="宋体"/>
          <w:color w:val="000000"/>
        </w:rPr>
        <w:t>7、《甘肃省财政厅关于印发&lt;甘肃省省级预算绩效管理办法&gt;等6个办法和规程的通知》（甘财绩〔2020〕5号）；</w:t>
      </w:r>
    </w:p>
    <w:p>
      <w:pPr>
        <w:ind w:firstLine="560"/>
      </w:pPr>
      <w:r>
        <w:rPr>
          <w:rFonts w:hint="eastAsia" w:hAnsi="宋体"/>
          <w:color w:val="000000"/>
        </w:rPr>
        <w:t>8、《甘肃省财政厅关于开展2021年度省级预算执行情况绩效自评工作的通知》（甘财绩〔2021〕8号）。</w:t>
      </w:r>
    </w:p>
    <w:bookmarkEnd w:id="26"/>
    <w:bookmarkEnd w:id="27"/>
    <w:p>
      <w:pPr>
        <w:pStyle w:val="2"/>
      </w:pPr>
      <w:bookmarkStart w:id="28" w:name="_Toc23932"/>
      <w:bookmarkStart w:id="29" w:name="_Toc40046026"/>
      <w:bookmarkStart w:id="30" w:name="_Toc23527"/>
      <w:r>
        <w:rPr>
          <w:rFonts w:hint="eastAsia"/>
        </w:rPr>
        <w:t>三、部门整体支出绩效自评情况分析</w:t>
      </w:r>
      <w:bookmarkEnd w:id="28"/>
      <w:bookmarkEnd w:id="29"/>
      <w:bookmarkEnd w:id="30"/>
      <w:r>
        <w:rPr>
          <w:rFonts w:hint="eastAsia"/>
        </w:rPr>
        <w:tab/>
      </w:r>
    </w:p>
    <w:p>
      <w:pPr>
        <w:pStyle w:val="3"/>
        <w:ind w:firstLine="643"/>
      </w:pPr>
      <w:bookmarkStart w:id="31" w:name="_Toc20026"/>
      <w:bookmarkStart w:id="32" w:name="_Toc15080"/>
      <w:bookmarkStart w:id="33" w:name="_Toc40046027"/>
      <w:r>
        <w:rPr>
          <w:rFonts w:hint="eastAsia"/>
        </w:rPr>
        <w:t>（一）部门决算情况</w:t>
      </w:r>
      <w:bookmarkEnd w:id="31"/>
      <w:bookmarkEnd w:id="32"/>
      <w:bookmarkEnd w:id="33"/>
    </w:p>
    <w:p>
      <w:pPr>
        <w:ind w:firstLine="560"/>
        <w:rPr>
          <w:rFonts w:hint="eastAsia"/>
        </w:rPr>
      </w:pPr>
      <w:r>
        <w:t>202</w:t>
      </w:r>
      <w:r>
        <w:rPr>
          <w:rFonts w:hint="eastAsia"/>
        </w:rPr>
        <w:t>1</w:t>
      </w:r>
      <w:r>
        <w:t>年度，</w:t>
      </w:r>
      <w:r>
        <w:rPr>
          <w:rFonts w:hint="eastAsia"/>
        </w:rPr>
        <w:t>我部</w:t>
      </w:r>
      <w:r>
        <w:t>年初预算数</w:t>
      </w:r>
      <w:r>
        <w:rPr>
          <w:rFonts w:hint="eastAsia"/>
        </w:rPr>
        <w:t>27524.04</w:t>
      </w:r>
      <w:r>
        <w:t>万元，</w:t>
      </w:r>
      <w:r>
        <w:rPr>
          <w:rFonts w:hint="eastAsia" w:hAnsi="宋体"/>
          <w:color w:val="000000" w:themeColor="text1"/>
          <w14:textFill>
            <w14:solidFill>
              <w14:schemeClr w14:val="tx1"/>
            </w14:solidFill>
          </w14:textFill>
        </w:rPr>
        <w:t>经调整，全年预算资金总额为</w:t>
      </w:r>
      <w:r>
        <w:rPr>
          <w:rFonts w:hint="eastAsia" w:hAnsi="宋体"/>
          <w:color w:val="000000" w:themeColor="text1"/>
          <w:lang w:val="en-US" w:eastAsia="zh-CN"/>
          <w14:textFill>
            <w14:solidFill>
              <w14:schemeClr w14:val="tx1"/>
            </w14:solidFill>
          </w14:textFill>
        </w:rPr>
        <w:t>35999.14</w:t>
      </w:r>
      <w:r>
        <w:rPr>
          <w:rFonts w:hint="eastAsia" w:hAnsi="宋体"/>
          <w:color w:val="000000" w:themeColor="text1"/>
          <w14:textFill>
            <w14:solidFill>
              <w14:schemeClr w14:val="tx1"/>
            </w14:solidFill>
          </w14:textFill>
        </w:rPr>
        <w:t>万元，</w:t>
      </w:r>
      <w:r>
        <w:t>根据年末</w:t>
      </w:r>
      <w:r>
        <w:rPr>
          <w:rFonts w:hint="eastAsia"/>
        </w:rPr>
        <w:t>部门整体</w:t>
      </w:r>
      <w:r>
        <w:t>支出决算，</w:t>
      </w:r>
      <w:r>
        <w:rPr>
          <w:rFonts w:hint="eastAsia"/>
        </w:rPr>
        <w:t>我部</w:t>
      </w:r>
      <w:r>
        <w:t>于年内实际支出数</w:t>
      </w:r>
      <w:r>
        <w:rPr>
          <w:rFonts w:hint="eastAsia"/>
          <w:lang w:val="en-US" w:eastAsia="zh-CN"/>
        </w:rPr>
        <w:t>33013.5</w:t>
      </w:r>
      <w:r>
        <w:t>万元，</w:t>
      </w:r>
      <w:r>
        <w:rPr>
          <w:rFonts w:hint="eastAsia"/>
        </w:rPr>
        <w:t>其中基本支出为4015.26万元，项目支出为</w:t>
      </w:r>
      <w:r>
        <w:rPr>
          <w:rFonts w:hint="eastAsia"/>
          <w:lang w:val="en-US" w:eastAsia="zh-CN"/>
        </w:rPr>
        <w:t>28998.24</w:t>
      </w:r>
      <w:r>
        <w:rPr>
          <w:rFonts w:hint="eastAsia"/>
        </w:rPr>
        <w:t>万元，部门整体支出预算执行率为</w:t>
      </w:r>
      <w:r>
        <w:rPr>
          <w:rFonts w:hint="eastAsia"/>
          <w:lang w:val="en-US" w:eastAsia="zh-CN"/>
        </w:rPr>
        <w:t>91.71</w:t>
      </w:r>
      <w:r>
        <w:rPr>
          <w:rFonts w:hint="eastAsia"/>
        </w:rPr>
        <w:t>%。</w:t>
      </w:r>
    </w:p>
    <w:p>
      <w:pPr>
        <w:pStyle w:val="11"/>
        <w:ind w:left="0" w:leftChars="0" w:firstLine="562" w:firstLineChars="200"/>
        <w:rPr>
          <w:rFonts w:hint="eastAsia" w:eastAsia="仿宋_GB2312"/>
          <w:lang w:eastAsia="zh-CN"/>
        </w:rPr>
      </w:pPr>
      <w:r>
        <w:rPr>
          <w:rFonts w:hint="eastAsia"/>
          <w:b/>
          <w:bCs/>
          <w:lang w:eastAsia="zh-CN"/>
        </w:rPr>
        <w:t>关于项目支出决算数字和绩效合计数字不一致的情况说明：</w:t>
      </w:r>
      <w:r>
        <w:rPr>
          <w:rFonts w:hint="eastAsia"/>
          <w:b w:val="0"/>
          <w:bCs w:val="0"/>
          <w:lang w:val="en-US" w:eastAsia="zh-CN"/>
        </w:rPr>
        <w:t>2021年度，</w:t>
      </w:r>
      <w:r>
        <w:rPr>
          <w:rFonts w:hint="eastAsia"/>
          <w:lang w:eastAsia="zh-CN"/>
        </w:rPr>
        <w:t>我部开展绩效自评的专项资金全年共执行资金</w:t>
      </w:r>
      <w:r>
        <w:rPr>
          <w:rFonts w:hint="eastAsia"/>
          <w:lang w:val="en-US" w:eastAsia="zh-CN"/>
        </w:rPr>
        <w:t>25910.16</w:t>
      </w:r>
      <w:r>
        <w:rPr>
          <w:rFonts w:hint="eastAsia"/>
          <w:lang w:eastAsia="zh-CN"/>
        </w:rPr>
        <w:t>万元，与决算数据中项目支出数字有差额，主要原因是：1.少数民族地区和边疆地区文化安全专项资金等部分涉密项目未开展自评（涉及支出金额约2600万元）；2.高层次人才资助费用、干部教育培训费用、省级干部医疗费、省老干局拨付离退休党组织工作经费、“七一”走访慰问活动经费、死亡抚恤金等省委组织部、省直机关党委、省老干局等省直机关拨付款项未开展自评（涉及金额约150万元）；3.舆情补助专项、版权奖金、“扫黄打非”奖励、国家社科专项等部分中宣部下达“带帽”资金未开展自评（涉及金额约400万元）；4.2020年海外社交平台专项、2020年重大项目前期费、2020年度脱贫攻坚补助、2020年省级电影事业发展专项等2020年度设立的一次性专项资金，其主要工作在2020年度完成，2021年度只支付了剩余款项，2020年项目自评已就全年工作开展情况开展了自评，今年不再开展自评（涉及金额约1083万元）。</w:t>
      </w:r>
    </w:p>
    <w:p>
      <w:pPr>
        <w:pStyle w:val="3"/>
        <w:ind w:firstLine="643"/>
      </w:pPr>
      <w:bookmarkStart w:id="34" w:name="_Toc15635"/>
      <w:bookmarkStart w:id="35" w:name="_Toc27910"/>
      <w:bookmarkStart w:id="36" w:name="_Toc40046028"/>
      <w:r>
        <w:rPr>
          <w:rFonts w:hint="eastAsia"/>
        </w:rPr>
        <w:t>（二）总体绩效目标完成情况分析</w:t>
      </w:r>
      <w:bookmarkEnd w:id="34"/>
      <w:bookmarkEnd w:id="35"/>
      <w:bookmarkEnd w:id="36"/>
    </w:p>
    <w:p>
      <w:pPr>
        <w:pStyle w:val="4"/>
        <w:ind w:firstLine="562"/>
      </w:pPr>
      <w:bookmarkStart w:id="37" w:name="_Toc65230993"/>
      <w:bookmarkStart w:id="38" w:name="_Toc26942"/>
      <w:r>
        <w:rPr>
          <w:rFonts w:hint="eastAsia"/>
        </w:rPr>
        <w:t>1、总体绩效得分情况</w:t>
      </w:r>
      <w:bookmarkEnd w:id="37"/>
      <w:bookmarkEnd w:id="38"/>
    </w:p>
    <w:p>
      <w:pPr>
        <w:ind w:firstLine="560"/>
      </w:pPr>
      <w:r>
        <w:rPr>
          <w:rFonts w:hint="eastAsia"/>
        </w:rPr>
        <w:t>经综合评价与分析，我部</w:t>
      </w:r>
      <w:r>
        <w:t>202</w:t>
      </w:r>
      <w:r>
        <w:rPr>
          <w:rFonts w:hint="eastAsia"/>
        </w:rPr>
        <w:t>1</w:t>
      </w:r>
      <w:r>
        <w:t>年度部门整体支出绩效</w:t>
      </w:r>
      <w:r>
        <w:rPr>
          <w:rFonts w:hint="eastAsia"/>
        </w:rPr>
        <w:t>自评</w:t>
      </w:r>
      <w:r>
        <w:t>最终得分为</w:t>
      </w:r>
      <w:r>
        <w:rPr>
          <w:rFonts w:hint="eastAsia"/>
        </w:rPr>
        <w:t>95.</w:t>
      </w:r>
      <w:r>
        <w:rPr>
          <w:rFonts w:hint="eastAsia"/>
          <w:lang w:val="en-US" w:eastAsia="zh-CN"/>
        </w:rPr>
        <w:t>58</w:t>
      </w:r>
      <w:r>
        <w:t>分，评价结果为“优”</w:t>
      </w:r>
      <w:r>
        <w:rPr>
          <w:rFonts w:hint="eastAsia"/>
        </w:rPr>
        <w:t>，具体得分情况如下表所示：</w:t>
      </w:r>
    </w:p>
    <w:p>
      <w:pPr>
        <w:ind w:firstLine="0" w:firstLineChars="0"/>
        <w:jc w:val="center"/>
        <w:rPr>
          <w:rFonts w:hAnsi="宋体" w:cstheme="minorEastAsia"/>
          <w:b/>
          <w:bCs/>
          <w:kern w:val="0"/>
          <w:szCs w:val="28"/>
        </w:rPr>
      </w:pPr>
      <w:r>
        <w:rPr>
          <w:rFonts w:hint="eastAsia" w:hAnsi="宋体" w:cstheme="minorEastAsia"/>
          <w:b/>
          <w:bCs/>
          <w:kern w:val="0"/>
          <w:szCs w:val="28"/>
        </w:rPr>
        <w:t>2021年度部门整体支出绩效自评指标得分情况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74" w:type="dxa"/>
            <w:vAlign w:val="center"/>
          </w:tcPr>
          <w:p>
            <w:pPr>
              <w:spacing w:line="240" w:lineRule="auto"/>
              <w:ind w:firstLine="0" w:firstLineChars="0"/>
              <w:jc w:val="center"/>
              <w:rPr>
                <w:b/>
                <w:bCs/>
                <w:sz w:val="24"/>
                <w:szCs w:val="21"/>
              </w:rPr>
            </w:pPr>
            <w:bookmarkStart w:id="39" w:name="_Toc32015"/>
            <w:bookmarkStart w:id="40" w:name="_Toc65230994"/>
            <w:r>
              <w:rPr>
                <w:rFonts w:hint="eastAsia"/>
                <w:b/>
                <w:bCs/>
                <w:sz w:val="24"/>
                <w:szCs w:val="21"/>
              </w:rPr>
              <w:t>一级指标</w:t>
            </w:r>
          </w:p>
        </w:tc>
        <w:tc>
          <w:tcPr>
            <w:tcW w:w="2074" w:type="dxa"/>
            <w:vAlign w:val="center"/>
          </w:tcPr>
          <w:p>
            <w:pPr>
              <w:spacing w:line="240" w:lineRule="auto"/>
              <w:ind w:firstLine="0" w:firstLineChars="0"/>
              <w:jc w:val="center"/>
              <w:rPr>
                <w:b/>
                <w:bCs/>
                <w:sz w:val="24"/>
                <w:szCs w:val="21"/>
              </w:rPr>
            </w:pPr>
            <w:r>
              <w:rPr>
                <w:rFonts w:hint="eastAsia"/>
                <w:b/>
                <w:bCs/>
                <w:sz w:val="24"/>
                <w:szCs w:val="21"/>
              </w:rPr>
              <w:t>分值</w:t>
            </w:r>
          </w:p>
        </w:tc>
        <w:tc>
          <w:tcPr>
            <w:tcW w:w="2074" w:type="dxa"/>
            <w:vAlign w:val="center"/>
          </w:tcPr>
          <w:p>
            <w:pPr>
              <w:spacing w:line="240" w:lineRule="auto"/>
              <w:ind w:firstLine="0" w:firstLineChars="0"/>
              <w:jc w:val="center"/>
              <w:rPr>
                <w:b/>
                <w:bCs/>
                <w:sz w:val="24"/>
                <w:szCs w:val="21"/>
              </w:rPr>
            </w:pPr>
            <w:r>
              <w:rPr>
                <w:rFonts w:hint="eastAsia"/>
                <w:b/>
                <w:bCs/>
                <w:sz w:val="24"/>
                <w:szCs w:val="21"/>
              </w:rPr>
              <w:t>实际得分</w:t>
            </w:r>
          </w:p>
        </w:tc>
        <w:tc>
          <w:tcPr>
            <w:tcW w:w="2074" w:type="dxa"/>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预算执行率</w:t>
            </w:r>
          </w:p>
        </w:tc>
        <w:tc>
          <w:tcPr>
            <w:tcW w:w="2074" w:type="dxa"/>
            <w:vAlign w:val="center"/>
          </w:tcPr>
          <w:p>
            <w:pPr>
              <w:spacing w:line="240" w:lineRule="auto"/>
              <w:ind w:firstLine="0" w:firstLineChars="0"/>
              <w:jc w:val="center"/>
              <w:rPr>
                <w:sz w:val="24"/>
                <w:szCs w:val="21"/>
              </w:rPr>
            </w:pPr>
            <w:r>
              <w:rPr>
                <w:rFonts w:hint="eastAsia"/>
                <w:sz w:val="24"/>
                <w:szCs w:val="21"/>
              </w:rPr>
              <w:t>10</w:t>
            </w:r>
          </w:p>
        </w:tc>
        <w:tc>
          <w:tcPr>
            <w:tcW w:w="2074" w:type="dxa"/>
            <w:vAlign w:val="center"/>
          </w:tcPr>
          <w:p>
            <w:pPr>
              <w:spacing w:line="240" w:lineRule="auto"/>
              <w:ind w:firstLine="0" w:firstLineChars="0"/>
              <w:jc w:val="center"/>
              <w:rPr>
                <w:rFonts w:hint="default"/>
                <w:sz w:val="24"/>
                <w:szCs w:val="21"/>
                <w:lang w:val="en-US"/>
              </w:rPr>
            </w:pPr>
            <w:r>
              <w:rPr>
                <w:rFonts w:hint="eastAsia"/>
                <w:sz w:val="24"/>
                <w:szCs w:val="21"/>
              </w:rPr>
              <w:t>9.</w:t>
            </w:r>
            <w:r>
              <w:rPr>
                <w:rFonts w:hint="eastAsia"/>
                <w:sz w:val="24"/>
                <w:szCs w:val="21"/>
                <w:lang w:val="en-US" w:eastAsia="zh-CN"/>
              </w:rPr>
              <w:t>17</w:t>
            </w:r>
          </w:p>
        </w:tc>
        <w:tc>
          <w:tcPr>
            <w:tcW w:w="2074" w:type="dxa"/>
            <w:vAlign w:val="center"/>
          </w:tcPr>
          <w:p>
            <w:pPr>
              <w:spacing w:line="240" w:lineRule="auto"/>
              <w:ind w:firstLine="0" w:firstLineChars="0"/>
              <w:jc w:val="center"/>
              <w:rPr>
                <w:sz w:val="24"/>
                <w:szCs w:val="21"/>
              </w:rPr>
            </w:pPr>
            <w:r>
              <w:rPr>
                <w:rFonts w:hint="eastAsia"/>
                <w:sz w:val="24"/>
                <w:szCs w:val="21"/>
              </w:rPr>
              <w:t>9</w:t>
            </w:r>
            <w:r>
              <w:rPr>
                <w:rFonts w:hint="eastAsia"/>
                <w:sz w:val="24"/>
                <w:szCs w:val="21"/>
                <w:lang w:val="en-US" w:eastAsia="zh-CN"/>
              </w:rPr>
              <w:t>1.7</w:t>
            </w: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部门管理</w:t>
            </w:r>
          </w:p>
        </w:tc>
        <w:tc>
          <w:tcPr>
            <w:tcW w:w="2074" w:type="dxa"/>
            <w:vAlign w:val="center"/>
          </w:tcPr>
          <w:p>
            <w:pPr>
              <w:spacing w:line="240" w:lineRule="auto"/>
              <w:ind w:firstLine="0" w:firstLineChars="0"/>
              <w:jc w:val="center"/>
              <w:rPr>
                <w:sz w:val="24"/>
                <w:szCs w:val="21"/>
              </w:rPr>
            </w:pPr>
            <w:r>
              <w:rPr>
                <w:rFonts w:hint="eastAsia"/>
                <w:sz w:val="24"/>
                <w:szCs w:val="21"/>
              </w:rPr>
              <w:t>20</w:t>
            </w:r>
          </w:p>
        </w:tc>
        <w:tc>
          <w:tcPr>
            <w:tcW w:w="2074" w:type="dxa"/>
            <w:vAlign w:val="center"/>
          </w:tcPr>
          <w:p>
            <w:pPr>
              <w:spacing w:line="240" w:lineRule="auto"/>
              <w:ind w:firstLine="0" w:firstLineChars="0"/>
              <w:jc w:val="center"/>
              <w:rPr>
                <w:rFonts w:hint="eastAsia" w:eastAsia="仿宋_GB2312"/>
                <w:sz w:val="24"/>
                <w:szCs w:val="21"/>
                <w:lang w:eastAsia="zh-CN"/>
              </w:rPr>
            </w:pPr>
            <w:r>
              <w:rPr>
                <w:rFonts w:hint="eastAsia"/>
                <w:sz w:val="24"/>
                <w:szCs w:val="21"/>
              </w:rPr>
              <w:t>17.9</w:t>
            </w:r>
            <w:r>
              <w:rPr>
                <w:rFonts w:hint="eastAsia"/>
                <w:sz w:val="24"/>
                <w:szCs w:val="21"/>
                <w:lang w:val="en-US" w:eastAsia="zh-CN"/>
              </w:rPr>
              <w:t>1</w:t>
            </w:r>
          </w:p>
        </w:tc>
        <w:tc>
          <w:tcPr>
            <w:tcW w:w="2074" w:type="dxa"/>
            <w:vAlign w:val="center"/>
          </w:tcPr>
          <w:p>
            <w:pPr>
              <w:spacing w:line="240" w:lineRule="auto"/>
              <w:ind w:firstLine="0" w:firstLineChars="0"/>
              <w:jc w:val="center"/>
              <w:rPr>
                <w:sz w:val="24"/>
                <w:szCs w:val="21"/>
              </w:rPr>
            </w:pPr>
            <w:r>
              <w:rPr>
                <w:rFonts w:hint="eastAsia"/>
                <w:sz w:val="24"/>
                <w:szCs w:val="21"/>
              </w:rPr>
              <w:t>89.</w:t>
            </w:r>
            <w:r>
              <w:rPr>
                <w:rFonts w:hint="eastAsia"/>
                <w:sz w:val="24"/>
                <w:szCs w:val="21"/>
                <w:lang w:val="en-US" w:eastAsia="zh-CN"/>
              </w:rPr>
              <w:t>5</w:t>
            </w:r>
            <w:r>
              <w:rPr>
                <w:rFonts w:hint="eastAsia"/>
                <w:sz w:val="24"/>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履职效果</w:t>
            </w:r>
          </w:p>
        </w:tc>
        <w:tc>
          <w:tcPr>
            <w:tcW w:w="2074" w:type="dxa"/>
            <w:vAlign w:val="center"/>
          </w:tcPr>
          <w:p>
            <w:pPr>
              <w:spacing w:line="240" w:lineRule="auto"/>
              <w:ind w:firstLine="0" w:firstLineChars="0"/>
              <w:jc w:val="center"/>
              <w:rPr>
                <w:sz w:val="24"/>
                <w:szCs w:val="21"/>
              </w:rPr>
            </w:pPr>
            <w:r>
              <w:rPr>
                <w:rFonts w:hint="eastAsia"/>
                <w:sz w:val="24"/>
                <w:szCs w:val="21"/>
              </w:rPr>
              <w:t>50</w:t>
            </w:r>
          </w:p>
        </w:tc>
        <w:tc>
          <w:tcPr>
            <w:tcW w:w="2074" w:type="dxa"/>
            <w:vAlign w:val="center"/>
          </w:tcPr>
          <w:p>
            <w:pPr>
              <w:spacing w:line="240" w:lineRule="auto"/>
              <w:ind w:firstLine="0" w:firstLineChars="0"/>
              <w:jc w:val="center"/>
              <w:rPr>
                <w:sz w:val="24"/>
                <w:szCs w:val="21"/>
              </w:rPr>
            </w:pPr>
            <w:r>
              <w:rPr>
                <w:rFonts w:hint="eastAsia"/>
                <w:sz w:val="24"/>
                <w:szCs w:val="21"/>
              </w:rPr>
              <w:t>48.5</w:t>
            </w:r>
          </w:p>
        </w:tc>
        <w:tc>
          <w:tcPr>
            <w:tcW w:w="2074" w:type="dxa"/>
            <w:vAlign w:val="center"/>
          </w:tcPr>
          <w:p>
            <w:pPr>
              <w:spacing w:line="240" w:lineRule="auto"/>
              <w:ind w:firstLine="0" w:firstLineChars="0"/>
              <w:jc w:val="center"/>
              <w:rPr>
                <w:sz w:val="24"/>
                <w:szCs w:val="21"/>
              </w:rPr>
            </w:pPr>
            <w:r>
              <w:rPr>
                <w:rFonts w:hint="eastAsia"/>
                <w:sz w:val="24"/>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能力建设</w:t>
            </w:r>
          </w:p>
        </w:tc>
        <w:tc>
          <w:tcPr>
            <w:tcW w:w="2074" w:type="dxa"/>
            <w:vAlign w:val="center"/>
          </w:tcPr>
          <w:p>
            <w:pPr>
              <w:spacing w:line="240" w:lineRule="auto"/>
              <w:ind w:firstLine="0" w:firstLineChars="0"/>
              <w:jc w:val="center"/>
              <w:rPr>
                <w:sz w:val="24"/>
                <w:szCs w:val="21"/>
              </w:rPr>
            </w:pPr>
            <w:r>
              <w:rPr>
                <w:rFonts w:hint="eastAsia"/>
                <w:sz w:val="24"/>
                <w:szCs w:val="21"/>
              </w:rPr>
              <w:t>10</w:t>
            </w:r>
          </w:p>
        </w:tc>
        <w:tc>
          <w:tcPr>
            <w:tcW w:w="2074" w:type="dxa"/>
            <w:vAlign w:val="center"/>
          </w:tcPr>
          <w:p>
            <w:pPr>
              <w:spacing w:line="240" w:lineRule="auto"/>
              <w:ind w:firstLine="0" w:firstLineChars="0"/>
              <w:jc w:val="center"/>
              <w:rPr>
                <w:sz w:val="24"/>
                <w:szCs w:val="21"/>
              </w:rPr>
            </w:pPr>
            <w:r>
              <w:rPr>
                <w:rFonts w:hint="eastAsia"/>
                <w:sz w:val="24"/>
                <w:szCs w:val="21"/>
              </w:rPr>
              <w:t>10</w:t>
            </w:r>
          </w:p>
        </w:tc>
        <w:tc>
          <w:tcPr>
            <w:tcW w:w="2074"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sz w:val="24"/>
                <w:szCs w:val="21"/>
              </w:rPr>
            </w:pPr>
            <w:r>
              <w:rPr>
                <w:rFonts w:hint="eastAsia"/>
                <w:sz w:val="24"/>
                <w:szCs w:val="21"/>
              </w:rPr>
              <w:t>服务对象满意度</w:t>
            </w:r>
          </w:p>
        </w:tc>
        <w:tc>
          <w:tcPr>
            <w:tcW w:w="2074" w:type="dxa"/>
            <w:vAlign w:val="center"/>
          </w:tcPr>
          <w:p>
            <w:pPr>
              <w:spacing w:line="240" w:lineRule="auto"/>
              <w:ind w:firstLine="0" w:firstLineChars="0"/>
              <w:jc w:val="center"/>
              <w:rPr>
                <w:sz w:val="24"/>
                <w:szCs w:val="21"/>
              </w:rPr>
            </w:pPr>
            <w:r>
              <w:rPr>
                <w:rFonts w:hint="eastAsia"/>
                <w:sz w:val="24"/>
                <w:szCs w:val="21"/>
              </w:rPr>
              <w:t>10</w:t>
            </w:r>
          </w:p>
        </w:tc>
        <w:tc>
          <w:tcPr>
            <w:tcW w:w="2074" w:type="dxa"/>
            <w:vAlign w:val="center"/>
          </w:tcPr>
          <w:p>
            <w:pPr>
              <w:spacing w:line="240" w:lineRule="auto"/>
              <w:ind w:firstLine="0" w:firstLineChars="0"/>
              <w:jc w:val="center"/>
              <w:rPr>
                <w:sz w:val="24"/>
                <w:szCs w:val="21"/>
              </w:rPr>
            </w:pPr>
            <w:r>
              <w:rPr>
                <w:rFonts w:hint="eastAsia"/>
                <w:sz w:val="24"/>
                <w:szCs w:val="21"/>
              </w:rPr>
              <w:t>10</w:t>
            </w:r>
          </w:p>
        </w:tc>
        <w:tc>
          <w:tcPr>
            <w:tcW w:w="2074"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Align w:val="center"/>
          </w:tcPr>
          <w:p>
            <w:pPr>
              <w:spacing w:line="240" w:lineRule="auto"/>
              <w:ind w:firstLine="0" w:firstLineChars="0"/>
              <w:jc w:val="center"/>
              <w:rPr>
                <w:b/>
                <w:bCs/>
                <w:sz w:val="24"/>
                <w:szCs w:val="21"/>
              </w:rPr>
            </w:pPr>
            <w:r>
              <w:rPr>
                <w:rFonts w:hint="eastAsia"/>
                <w:b/>
                <w:bCs/>
                <w:sz w:val="24"/>
                <w:szCs w:val="21"/>
              </w:rPr>
              <w:t>合计</w:t>
            </w:r>
          </w:p>
        </w:tc>
        <w:tc>
          <w:tcPr>
            <w:tcW w:w="2074" w:type="dxa"/>
            <w:vAlign w:val="center"/>
          </w:tcPr>
          <w:p>
            <w:pPr>
              <w:spacing w:line="240" w:lineRule="auto"/>
              <w:ind w:firstLine="0" w:firstLineChars="0"/>
              <w:jc w:val="center"/>
              <w:rPr>
                <w:b/>
                <w:bCs/>
                <w:sz w:val="24"/>
                <w:szCs w:val="21"/>
              </w:rPr>
            </w:pPr>
            <w:r>
              <w:rPr>
                <w:rFonts w:hint="eastAsia"/>
                <w:b/>
                <w:bCs/>
                <w:sz w:val="24"/>
                <w:szCs w:val="21"/>
              </w:rPr>
              <w:t>100</w:t>
            </w:r>
          </w:p>
        </w:tc>
        <w:tc>
          <w:tcPr>
            <w:tcW w:w="2074" w:type="dxa"/>
            <w:vAlign w:val="center"/>
          </w:tcPr>
          <w:p>
            <w:pPr>
              <w:spacing w:line="240" w:lineRule="auto"/>
              <w:ind w:firstLine="0" w:firstLineChars="0"/>
              <w:jc w:val="center"/>
              <w:rPr>
                <w:rFonts w:hint="default" w:eastAsia="仿宋_GB2312"/>
                <w:b/>
                <w:bCs/>
                <w:sz w:val="24"/>
                <w:szCs w:val="21"/>
                <w:lang w:val="en-US" w:eastAsia="zh-CN"/>
              </w:rPr>
            </w:pPr>
            <w:r>
              <w:rPr>
                <w:rFonts w:hint="eastAsia"/>
                <w:b/>
                <w:bCs/>
                <w:sz w:val="24"/>
                <w:szCs w:val="21"/>
              </w:rPr>
              <w:t>95.</w:t>
            </w:r>
            <w:r>
              <w:rPr>
                <w:rFonts w:hint="eastAsia"/>
                <w:b/>
                <w:bCs/>
                <w:sz w:val="24"/>
                <w:szCs w:val="21"/>
                <w:lang w:val="en-US" w:eastAsia="zh-CN"/>
              </w:rPr>
              <w:t>58</w:t>
            </w:r>
          </w:p>
        </w:tc>
        <w:tc>
          <w:tcPr>
            <w:tcW w:w="2074" w:type="dxa"/>
            <w:vAlign w:val="center"/>
          </w:tcPr>
          <w:p>
            <w:pPr>
              <w:spacing w:line="240" w:lineRule="auto"/>
              <w:ind w:firstLine="0" w:firstLineChars="0"/>
              <w:jc w:val="center"/>
              <w:rPr>
                <w:b/>
                <w:bCs/>
                <w:sz w:val="24"/>
                <w:szCs w:val="21"/>
              </w:rPr>
            </w:pPr>
            <w:r>
              <w:rPr>
                <w:rFonts w:hint="eastAsia"/>
                <w:b/>
                <w:bCs/>
                <w:sz w:val="24"/>
                <w:szCs w:val="21"/>
              </w:rPr>
              <w:t>95.</w:t>
            </w:r>
            <w:r>
              <w:rPr>
                <w:rFonts w:hint="eastAsia"/>
                <w:b/>
                <w:bCs/>
                <w:sz w:val="24"/>
                <w:szCs w:val="21"/>
                <w:lang w:val="en-US" w:eastAsia="zh-CN"/>
              </w:rPr>
              <w:t>58</w:t>
            </w:r>
            <w:r>
              <w:rPr>
                <w:rFonts w:hint="eastAsia"/>
                <w:b/>
                <w:bCs/>
                <w:sz w:val="24"/>
                <w:szCs w:val="21"/>
              </w:rPr>
              <w:t>%</w:t>
            </w:r>
          </w:p>
        </w:tc>
      </w:tr>
    </w:tbl>
    <w:p>
      <w:pPr>
        <w:pStyle w:val="4"/>
        <w:ind w:firstLine="562"/>
      </w:pPr>
      <w:r>
        <w:t>2、主要</w:t>
      </w:r>
      <w:r>
        <w:rPr>
          <w:rFonts w:hint="eastAsia"/>
        </w:rPr>
        <w:t>目标</w:t>
      </w:r>
      <w:r>
        <w:t>完成情况</w:t>
      </w:r>
      <w:bookmarkEnd w:id="39"/>
      <w:bookmarkEnd w:id="40"/>
    </w:p>
    <w:p>
      <w:pPr>
        <w:widowControl/>
        <w:ind w:firstLine="560"/>
        <w:jc w:val="left"/>
        <w:rPr>
          <w:rFonts w:cs="仿宋_GB2312"/>
          <w:kern w:val="0"/>
          <w:szCs w:val="28"/>
          <w:lang w:bidi="ar"/>
        </w:rPr>
      </w:pPr>
      <w:r>
        <w:rPr>
          <w:rFonts w:hint="eastAsia" w:cs="仿宋_GB2312"/>
          <w:kern w:val="0"/>
          <w:szCs w:val="28"/>
          <w:lang w:bidi="ar"/>
        </w:rPr>
        <w:t>2021年，在省委的坚强领导和中宣部的精心指导下，我部领导班子坚持以习近平新时代中国特色社会主义思想为指导，认真贯彻落实党的十九大和十九届历次全会精神，贯彻落实习近平总书记对甘肃重要讲话和指示精神，贯彻落实全国宣传部长会议精神和省委部署要求，大力唱响庆祝建党百年的昂扬旋律，广泛凝聚奋进新征程的强大力量，坚持稳中求进、守正创新、担当作为，全省宣传思想文化各项工作取得新进展新成效，为努力谱写加快建设幸福美好新甘肃、不断开创富民兴陇新局面时代篇章提供了坚强思想保证和强大精神力量。具体目标完成情况分析如下：</w:t>
      </w:r>
    </w:p>
    <w:p>
      <w:pPr>
        <w:ind w:firstLine="562"/>
        <w:rPr>
          <w:rFonts w:hAnsi="宋体"/>
          <w:b/>
          <w:szCs w:val="28"/>
        </w:rPr>
      </w:pPr>
      <w:r>
        <w:rPr>
          <w:rFonts w:hint="eastAsia"/>
          <w:b/>
          <w:bCs/>
        </w:rPr>
        <w:t>（1）目标一</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高举思想旗帜，坚持用习近平新时代中国特色社会主义思想凝心铸魂，抓好党的创新理论学习宣传，计划在全省发行重点理论读物260万册，开展主题宣讲10万场；落实理论学习中心组学习制度，计划开展集体学习15次，研讨交流5次；深化重大理论研究阐释，计划在主要报刊刊发理论文章540篇，国家社科基金项目立项130项，推动全年各项工作任务落地见效。</w:t>
      </w:r>
    </w:p>
    <w:p>
      <w:pPr>
        <w:ind w:firstLine="562"/>
      </w:pPr>
      <w:r>
        <w:rPr>
          <w:rFonts w:hint="eastAsia"/>
          <w:b/>
          <w:bCs/>
          <w:szCs w:val="28"/>
        </w:rPr>
        <w:t>目标一完成情况：</w:t>
      </w:r>
      <w:r>
        <w:rPr>
          <w:rFonts w:hint="eastAsia"/>
          <w:szCs w:val="28"/>
        </w:rPr>
        <w:t>2021年我部围绕学习贯彻习近平新时代中国特色社会主义思想，省属主要媒体及其新媒体平台推出相关报道8.1万余篇（条），全省发行重点理论读物269万册，切实用党的创新理论教育人、引领人。组织开展习近平总书记“七一”重要讲话、党的十九届六中全会精神等主题宣讲11.2万场、受众798万人，建成基层宣讲示范点284个。发挥“学习强国”甘肃学习平台、新时代文明实践中心、县级融媒体中心等阵地作用，推出“颇有道理”、《习语典读》等一批新媒体理论产品，打造机关“学习走廊”学习品牌，开展理论和形势政策宣讲志愿服务活动8万多场，推动党的创新理论走进千家万户；坚持省委理论学习中心组示范引领，围绕党史学习教育、习近平总书记“七一”重要讲话、党的十九届六中全会精神等主题，开展集体学习17次、研讨交流6次，省委理论学习中心组成员在《甘肃日报》刊发研讨文章30多篇；加强“理论陇军”建设，开展省第十六次哲学社会科学优秀成果评奖，分别在中央“四报一刊”、省属主要报刊刊发理论文章42篇、500余篇，国家社科基金项目立项131项，再创历史新高。</w:t>
      </w:r>
    </w:p>
    <w:p>
      <w:pPr>
        <w:ind w:firstLine="562"/>
        <w:rPr>
          <w:rFonts w:hAnsi="宋体"/>
          <w:b/>
          <w:szCs w:val="28"/>
        </w:rPr>
      </w:pPr>
      <w:r>
        <w:rPr>
          <w:rFonts w:hint="eastAsia"/>
          <w:b/>
          <w:bCs/>
        </w:rPr>
        <w:t>（2）目标二</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突出主题主线，深入开展庆祝中国共产党成立100周年宣传教育，举办庆祝建党100周年座谈会、大型音乐舞蹈史诗文艺演出、系列展览展演和宣传教育等活动；紧扣庆祝建党百年宣传组织大型主题采访及主题宣传活动；与省委组织部牵头组织开展全省党史学习教育；加强对外宣传，计划开展系列宣传活动20场，提升国际传播能力，扩大甘肃知名度和影响力。</w:t>
      </w:r>
    </w:p>
    <w:p>
      <w:pPr>
        <w:ind w:firstLine="562"/>
        <w:rPr>
          <w:rFonts w:cs="仿宋_GB2312"/>
          <w:b/>
          <w:bCs/>
          <w:color w:val="000000"/>
          <w:szCs w:val="28"/>
        </w:rPr>
      </w:pPr>
      <w:r>
        <w:rPr>
          <w:rFonts w:hint="eastAsia"/>
          <w:b/>
          <w:bCs/>
          <w:szCs w:val="28"/>
        </w:rPr>
        <w:t>目标二完成情况：</w:t>
      </w:r>
      <w:r>
        <w:rPr>
          <w:rFonts w:hint="eastAsia"/>
          <w:szCs w:val="28"/>
        </w:rPr>
        <w:t>2021年我部举行庆祝建党100周年省委新闻发布会和系列发布会14场。集中开展党的十九届六中全会宣传报道，深入开展“牢记总书记嘱托 砥砺奋进新征程”“脱贫攻坚答卷”“走进乡村看小康”等主题宣传，全方位、全景式展现甘肃贯彻落实的实际行动和历史性成就。及时高效做好疫情防控宣传引导，有序做好全国、全省“两会”和省委全会等宣传。建立甘肃新闻线索库，中央主要媒体及其新媒体平台刊播涉甘稿件29.3万条；服务保障省委常委会举办2次省委理论学习中心组党史学习教育暨省级领导干部专题读书班，策划推出19项具有甘肃特色的重点活动，推动各地各部门开展特色重点活动130项，组织党史专题宣讲6.4万多场，打造南梁革命纪念馆等45处红色教育“大课堂”。深入开展“我为群众办实事”实践活动，推动各市州和省直单位帮办实事1449件，全省各级党组织和党员干部帮办实事28万件以上，解决了一批群众急难愁盼问题；建立全省外宣工作联席会议机制，召开全省外宣工作会推进落实，省政府新闻办举办105场新闻发布会，着力传递甘肃声音，举办系列宣传活动20多场次，打造国际传播矩阵，建成甘肃外宣英文门户网站，甘肃海外社交平台账号粉丝量超43万，覆盖45个国家和地区，国际传播能力有力提升。</w:t>
      </w:r>
    </w:p>
    <w:p>
      <w:pPr>
        <w:ind w:firstLine="562"/>
        <w:rPr>
          <w:rFonts w:hAnsi="宋体"/>
          <w:b/>
          <w:szCs w:val="28"/>
        </w:rPr>
      </w:pPr>
      <w:bookmarkStart w:id="41" w:name="_Toc32276"/>
      <w:r>
        <w:rPr>
          <w:rFonts w:hint="eastAsia"/>
          <w:b/>
          <w:bCs/>
        </w:rPr>
        <w:t>（3）目标三</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强化政治担当，坚决铸牢维护意识形态安全坚固屏障，推动落实主体责任；深入开展整改整治，全面完成巡视专项检查反馈问题整改；制定责任追究机制，修订考核办法，完善监督机制，建立与省委统战部的协作机制；加强、涉网、涉高校、涉民族宗教等重点领域风险防控，实施“安全播出”工程，开展图书、报纸、期刊等出版物审读。</w:t>
      </w:r>
    </w:p>
    <w:p>
      <w:pPr>
        <w:ind w:firstLine="562"/>
      </w:pPr>
      <w:r>
        <w:rPr>
          <w:rFonts w:hint="eastAsia"/>
          <w:b/>
          <w:bCs/>
          <w:szCs w:val="28"/>
        </w:rPr>
        <w:t>目标三完成情况：</w:t>
      </w:r>
      <w:r>
        <w:rPr>
          <w:rFonts w:hint="eastAsia"/>
          <w:szCs w:val="28"/>
        </w:rPr>
        <w:t>2021年我部出台贯彻落实《党委（党组）意识形态工作责任制实施办法》《党委（党组）网络意识形态工作责任制实施细则》的《若干措施》，指导各级党委（党组）制定差异化责任清单。提请省委常委会会议专题研究意识形态工作，召开省委意识形态工作联席会议，推动各项任务落实；结合巡视反馈问题整改，在全省开展落实意识形态工作责任制不到位问题专项整治。开展全省《中国共产党宣传工作条例》实施情况、意识形态工作责任制落实和媒体深度融合发展情况专项督查，通过对发现的问题整改提升工作成效；出台《全省民族地区宣传教育工作“提质创优行动”实施方案》，加强铸牢中华民族共同体意识宣传教育。举办省级意识形态工作、舆情应对处置工作培训班，推动市、县两级和省直部门、高校、国有企业基本实现培训全覆盖；推进新闻传播领域“打假治敲”，加强报纸行业监管和文娱领域综合治理。建立重点领域舆情风险预警机制，修订全省舆情应急总体预案，有效处置重大敏感舆情。开展“扫黄打非”，查缴各类非法出版物14万余册，有效维护政治安全、意识形态安全和文化安全。</w:t>
      </w:r>
    </w:p>
    <w:p>
      <w:pPr>
        <w:ind w:firstLine="562"/>
        <w:rPr>
          <w:rFonts w:hAnsi="宋体"/>
          <w:b/>
          <w:szCs w:val="28"/>
        </w:rPr>
      </w:pPr>
      <w:r>
        <w:rPr>
          <w:rFonts w:hint="eastAsia"/>
          <w:b/>
          <w:bCs/>
        </w:rPr>
        <w:t>（4）目标四</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强化思想道德建设，广泛凝聚陇原儿女奋发奋进的精神力量，培育践行社会主义核心价值观，打造系列宣传产品，做好先进典型宣传，计划新增全国爱国主义教育示范基地新增6家；深化拓展新时代文明实践，提升新时代文明实践中心建设水平；持续深化群众性精神文明创建，深化文明城市创建，推动文明村镇创建，深化文明家庭创建，开展文明校园创建，推进未成年人思想道德建设。</w:t>
      </w:r>
    </w:p>
    <w:p>
      <w:pPr>
        <w:ind w:firstLine="562"/>
        <w:rPr>
          <w:szCs w:val="28"/>
        </w:rPr>
      </w:pPr>
      <w:r>
        <w:rPr>
          <w:rFonts w:hint="eastAsia"/>
          <w:b/>
          <w:bCs/>
          <w:szCs w:val="28"/>
        </w:rPr>
        <w:t>目标四完成情况：</w:t>
      </w:r>
      <w:r>
        <w:rPr>
          <w:rFonts w:hint="eastAsia"/>
          <w:szCs w:val="28"/>
        </w:rPr>
        <w:t>2021年我部通过打造“陇小飞说文明”“陇小飞说防疫”等系列产品，常态化开展“做文明有礼甘肃人”十大文明行动。做好先进典型选树宣传，邱军、张小娟分别被追授“时代楷模”“全国脱贫攻坚楷模”，郭万刚、樊锦诗获评全国道德模范，27人荣登“中国好人榜”，评选推出“陇人骄子”“道德模范”等重大典型133个。强化革命历史类纪念设施管理，加强爱国主义和国防教育，全国爱国主义教育示范基地新增6家，进一步丰富实践载体；争取中央补助2302万元，省级奖补500万元，推动各地建立实践中心办公室。全省86个县市区县级新时代文明实践中心全部建立，建成文明实践所1404个、文明实践站17244个，拥有志愿服务队伍4.6万支、志愿者276.7万名，开展各类文明实践活动102.5万场次。培育“农民夜校”等一批志愿服务品牌，宣传推选学雷锋志愿服务典型，全省近120万志愿者、3.4万个志愿服务组织和5.2万个新时代文明实践志愿服务队坚守疫情防控一线；深化文明城市创建，张掖等5个地级市、清水等9个县获全国文明城市提名。推动文明村镇创建，全国、省级文明村镇分别达151个、791个。建成省级文明单位数据库，开展全国文明单位宣传活动。深化文明家庭创建，全国、省级文明家庭分别达19户、89户。开展文明校园创建，全国、省级文明校园分别达39所、562所。推进未成年人思想道德建设，开展“红心向党”等主题实践活动，组织敦煌文化、南梁精神进校园，做好“新时代好少年”推选宣传活动，引导青少年“扣好人生第一粒扣子”。</w:t>
      </w:r>
    </w:p>
    <w:p>
      <w:pPr>
        <w:ind w:firstLine="562"/>
        <w:rPr>
          <w:rFonts w:hAnsi="宋体"/>
          <w:b/>
          <w:szCs w:val="28"/>
        </w:rPr>
      </w:pPr>
      <w:r>
        <w:rPr>
          <w:rFonts w:hint="eastAsia"/>
          <w:b/>
          <w:bCs/>
        </w:rPr>
        <w:t>（5）目标五</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坚持以人民为中心，不断推出更多陇原特色的文化艺术精品力作，深入实施陇原文艺高峰攀登工程，持续打造“甘肃文学八骏”“敦煌画派”“简牍书法”“纪录片大省”等陇原文艺品牌；努力提升“甘创”影视影响力，为影视事业提质增效；全面做好出版版权工作，促进版权事业产业良好发展。</w:t>
      </w:r>
    </w:p>
    <w:p>
      <w:pPr>
        <w:ind w:firstLine="562"/>
        <w:rPr>
          <w:szCs w:val="28"/>
        </w:rPr>
      </w:pPr>
      <w:r>
        <w:rPr>
          <w:rFonts w:hint="eastAsia"/>
          <w:b/>
          <w:bCs/>
          <w:szCs w:val="28"/>
        </w:rPr>
        <w:t>目标五完成情况：</w:t>
      </w:r>
      <w:r>
        <w:rPr>
          <w:rFonts w:hint="eastAsia"/>
          <w:szCs w:val="28"/>
        </w:rPr>
        <w:t>2021年我省响合唱组曲《南梁颂》在国家大剧院上演，推出话剧《八步沙》、音乐剧《达玛花开》等现实题材力作。陇剧《大禹治水》精彩亮相，大型民族器乐剧《玄奘西行》落地甘肃。加快网络文学发展，作品影响力和市场潜力不断扩大。5部舞台艺术作品、1部广播剧入选庆祝建党百年国家舞台艺术精品、优秀广播剧扶持剧目，3幅美术作品被中国共产党历史展览馆收藏展出，9个项目获国家艺术基金资助。开展敦煌文艺奖评选，奖补优秀文艺作品17部；《八步沙》获中国电影金鸡奖提名奖，《血战高台》列入中国电影“十四五”规划，《浴血誓言》《高铁作证》获国家电影专项资助，《暑期时光》等3部影片入选国内外电影节，《黄庙村·地宫美人》创我省创作的电影票房新高。全年全省票房4.84亿元，观影1295万人次，电影市场保持总体稳定。组织开展甘肃广播影视奖、优秀本土纪录片评选，电视剧《苹果为什么这样红》、纪录片《祁连山》获国家广电总局扶持，“甘创”影视品牌进一步树立；加强出版管理，图书《段一士手稿》、期刊《敦煌研究》等获“中国出版政府奖”，31种图书入选国家出版基金等重大出版项目。全省软件正版率、国产率不断提升，版权登记数量全年超3万件，版权事业产业发展呈现良好态势。</w:t>
      </w:r>
    </w:p>
    <w:p>
      <w:pPr>
        <w:ind w:firstLine="562"/>
        <w:rPr>
          <w:rFonts w:hAnsi="宋体"/>
          <w:b/>
          <w:szCs w:val="28"/>
        </w:rPr>
      </w:pPr>
      <w:r>
        <w:rPr>
          <w:rFonts w:hint="eastAsia"/>
          <w:b/>
          <w:bCs/>
        </w:rPr>
        <w:t>（6）目标六</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加快文化强省建设，努力推动全省文化事业产业发展，强化公共文化服务供给，不断丰富基层群众文化生活；加快文化事业产业发展，使文化产业在文化强省建设中的地位作用进一步凸显；深化文化体制改革，确保文化事业产业蓬勃发展。</w:t>
      </w:r>
    </w:p>
    <w:p>
      <w:pPr>
        <w:ind w:firstLine="562"/>
        <w:rPr>
          <w:szCs w:val="28"/>
        </w:rPr>
      </w:pPr>
      <w:r>
        <w:rPr>
          <w:rFonts w:hint="eastAsia"/>
          <w:b/>
          <w:bCs/>
          <w:szCs w:val="28"/>
        </w:rPr>
        <w:t>目标六完成情况：</w:t>
      </w:r>
      <w:r>
        <w:rPr>
          <w:rFonts w:hint="eastAsia"/>
          <w:szCs w:val="28"/>
        </w:rPr>
        <w:t>2021年全省99%的行政村、92%的社区建成综合文化服务中心，确立中华优秀传统文化传承发展“十四五”重点项目24项，组织开展全省“三下乡”等文艺展演展播活动，全省农村电影公益放映19.6万场，推进“书香陇原”建设行动，完成全省农家书屋出版物补充更新，不断丰富基层群众文化生活；印发“十四五”规划，推动文物保护和非物质文化遗产保护传承等各项建设任务落实落地。推进国家文化公园建设，我省长城、长征国家文化公园规划获国家批复，争取项目8个，中央财政支持2.2亿元，读者出版集团获“全国文化企业30强”提名。全年支持文化项目20个、资助2864万元，国家支持甘肃电影产业发展1350万元，文化产业在文化强省建设中的地位作用进一步凸显；编制“十四五”文化体制改革发展规划，完成改革任务14项。分类推进省属国有文化企业改革，完善内部考核和薪酬管理办法，读者出版集团“三大印厂”、新华书店和省广电总台所属企业改革取得成效。抓好国有文艺院团改革，制定深化国有文艺院团改革的《若干措施》，激发文艺院团活力。深入推进新闻媒体改革，86个县级融媒体中心全部入驻省级技术平台，17个市辖区完成验收，启动4个市级建设试点，推动形成全新媒体传播格局。</w:t>
      </w:r>
    </w:p>
    <w:p>
      <w:pPr>
        <w:ind w:firstLine="562"/>
        <w:rPr>
          <w:rFonts w:hAnsi="宋体"/>
          <w:b/>
          <w:szCs w:val="28"/>
        </w:rPr>
      </w:pPr>
      <w:bookmarkStart w:id="42" w:name="_Toc10146"/>
      <w:r>
        <w:rPr>
          <w:rFonts w:hint="eastAsia"/>
          <w:b/>
          <w:bCs/>
        </w:rPr>
        <w:t>（7）目标七</w:t>
      </w:r>
    </w:p>
    <w:p>
      <w:pPr>
        <w:ind w:firstLine="562"/>
        <w:rPr>
          <w:rFonts w:hAnsi="宋体"/>
          <w:szCs w:val="28"/>
        </w:rPr>
      </w:pPr>
      <w:r>
        <w:rPr>
          <w:rFonts w:hint="eastAsia" w:hAnsi="宋体"/>
          <w:b/>
          <w:szCs w:val="28"/>
        </w:rPr>
        <w:t>预期</w:t>
      </w:r>
      <w:r>
        <w:rPr>
          <w:rFonts w:hAnsi="宋体"/>
          <w:b/>
          <w:szCs w:val="28"/>
        </w:rPr>
        <w:t>目标：</w:t>
      </w:r>
      <w:r>
        <w:rPr>
          <w:rFonts w:hint="eastAsia" w:hAnsi="宋体"/>
          <w:szCs w:val="28"/>
        </w:rPr>
        <w:t>树牢正确选人用人导向，着力打造高素质专业化干部人才队伍，扎实开展干部教育培训，计划开展25个班次的培训，不断提升全战线干部的能力水平。</w:t>
      </w:r>
    </w:p>
    <w:p>
      <w:pPr>
        <w:ind w:firstLine="562"/>
        <w:rPr>
          <w:szCs w:val="28"/>
        </w:rPr>
      </w:pPr>
      <w:r>
        <w:rPr>
          <w:rFonts w:hint="eastAsia"/>
          <w:b/>
          <w:bCs/>
          <w:szCs w:val="28"/>
        </w:rPr>
        <w:t>目标七完成情况：</w:t>
      </w:r>
      <w:r>
        <w:rPr>
          <w:rFonts w:hint="eastAsia"/>
          <w:szCs w:val="28"/>
        </w:rPr>
        <w:t>2021年我部围绕学习贯彻习近平新时代中国特色社会主义思想、庆祝建党百年等主题组织开展干部教育培训，开设专题培训、业务培训、岗位培训、任职资格培训共25个班次。针对地方换届后党委宣传部部长调整变化较大的实际，举办学习贯彻党的十九届六中全会精神暨市县新任党委宣传部长培训班，省委宣传部领导班子成员分别专题授课。协调40名县市区党委宣传部部长参加全国新闻发布业务骨干网络培训班，组织40名年轻干部参加2个网络专题培训班，组织132名公务员、125名干部分别参加全省公务员网络培训班、国家工作人员网上学法和考试培训班，全年累计培训宣传干部5200余人次（含网络培训2500余人次），不断提升全战线干部的能力水平。</w:t>
      </w:r>
    </w:p>
    <w:p>
      <w:pPr>
        <w:pStyle w:val="3"/>
        <w:ind w:firstLine="0"/>
        <w:rPr>
          <w:rFonts w:hint="eastAsia"/>
        </w:rPr>
      </w:pPr>
      <w:bookmarkStart w:id="43" w:name="_Toc9339"/>
      <w:r>
        <w:rPr>
          <w:rFonts w:hint="eastAsia"/>
          <w:lang w:eastAsia="zh-CN"/>
        </w:rPr>
        <w:t>（三）</w:t>
      </w:r>
      <w:r>
        <w:rPr>
          <w:rFonts w:hint="eastAsia"/>
        </w:rPr>
        <w:t>各项指标完成情况分析</w:t>
      </w:r>
      <w:bookmarkEnd w:id="41"/>
      <w:bookmarkEnd w:id="42"/>
      <w:bookmarkEnd w:id="43"/>
    </w:p>
    <w:p>
      <w:pPr>
        <w:numPr>
          <w:ilvl w:val="-1"/>
          <w:numId w:val="0"/>
        </w:numPr>
        <w:ind w:firstLine="560" w:firstLineChars="200"/>
        <w:rPr>
          <w:rFonts w:hint="eastAsia" w:eastAsia="仿宋_GB2312"/>
          <w:lang w:eastAsia="zh-CN"/>
        </w:rPr>
      </w:pPr>
      <w:r>
        <w:rPr>
          <w:rFonts w:hint="eastAsia"/>
          <w:lang w:eastAsia="zh-CN"/>
        </w:rPr>
        <w:t>情况说明：部分指标实际完成情况填报与系统填报数据略有偏差，具体内容以此报告为准。</w:t>
      </w:r>
    </w:p>
    <w:p>
      <w:pPr>
        <w:pStyle w:val="4"/>
        <w:ind w:firstLine="562"/>
        <w:rPr>
          <w:color w:val="auto"/>
        </w:rPr>
      </w:pPr>
      <w:bookmarkStart w:id="44" w:name="_Toc14218"/>
      <w:bookmarkStart w:id="45" w:name="_Toc65230996"/>
      <w:r>
        <w:rPr>
          <w:color w:val="auto"/>
        </w:rPr>
        <w:t>1、</w:t>
      </w:r>
      <w:r>
        <w:rPr>
          <w:rFonts w:hint="eastAsia"/>
          <w:color w:val="auto"/>
        </w:rPr>
        <w:t>预算执行率</w:t>
      </w:r>
      <w:bookmarkEnd w:id="44"/>
      <w:bookmarkEnd w:id="45"/>
    </w:p>
    <w:tbl>
      <w:tblPr>
        <w:tblStyle w:val="2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777"/>
        <w:gridCol w:w="778"/>
        <w:gridCol w:w="778"/>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b/>
                <w:bCs/>
                <w:color w:val="auto"/>
                <w:kern w:val="0"/>
                <w:sz w:val="24"/>
                <w:szCs w:val="24"/>
              </w:rPr>
              <w:t>一级指标</w:t>
            </w:r>
          </w:p>
        </w:tc>
        <w:tc>
          <w:tcPr>
            <w:tcW w:w="1575"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b/>
                <w:bCs/>
                <w:color w:val="auto"/>
                <w:kern w:val="0"/>
                <w:sz w:val="24"/>
                <w:szCs w:val="24"/>
              </w:rPr>
              <w:t>全年预算数</w:t>
            </w:r>
          </w:p>
        </w:tc>
        <w:tc>
          <w:tcPr>
            <w:tcW w:w="1777"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b/>
                <w:bCs/>
                <w:color w:val="auto"/>
                <w:kern w:val="0"/>
                <w:sz w:val="24"/>
                <w:szCs w:val="24"/>
              </w:rPr>
              <w:t>实际支出数</w:t>
            </w:r>
          </w:p>
        </w:tc>
        <w:tc>
          <w:tcPr>
            <w:tcW w:w="77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b/>
                <w:bCs/>
                <w:color w:val="auto"/>
                <w:kern w:val="0"/>
                <w:sz w:val="24"/>
                <w:szCs w:val="24"/>
              </w:rPr>
              <w:t>分值</w:t>
            </w:r>
          </w:p>
        </w:tc>
        <w:tc>
          <w:tcPr>
            <w:tcW w:w="778" w:type="dxa"/>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b/>
                <w:bCs/>
                <w:color w:val="auto"/>
                <w:kern w:val="0"/>
                <w:sz w:val="24"/>
                <w:szCs w:val="24"/>
              </w:rPr>
              <w:t>得分</w:t>
            </w:r>
          </w:p>
        </w:tc>
        <w:tc>
          <w:tcPr>
            <w:tcW w:w="163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b/>
                <w:bCs/>
                <w:color w:val="auto"/>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auto"/>
                <w:kern w:val="0"/>
                <w:sz w:val="24"/>
                <w:szCs w:val="24"/>
              </w:rPr>
            </w:pPr>
            <w:r>
              <w:rPr>
                <w:rFonts w:hint="eastAsia" w:hAnsi="宋体" w:cs="宋体"/>
                <w:color w:val="auto"/>
                <w:kern w:val="0"/>
                <w:sz w:val="24"/>
                <w:szCs w:val="24"/>
              </w:rPr>
              <w:t>预算执行率</w:t>
            </w:r>
          </w:p>
        </w:tc>
        <w:tc>
          <w:tcPr>
            <w:tcW w:w="1575"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35999.14</w:t>
            </w:r>
          </w:p>
        </w:tc>
        <w:tc>
          <w:tcPr>
            <w:tcW w:w="177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33013.5</w:t>
            </w:r>
          </w:p>
        </w:tc>
        <w:tc>
          <w:tcPr>
            <w:tcW w:w="7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rPr>
              <w:t>10</w:t>
            </w:r>
          </w:p>
        </w:tc>
        <w:tc>
          <w:tcPr>
            <w:tcW w:w="7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hAnsi="宋体" w:eastAsia="仿宋_GB2312" w:cs="宋体"/>
                <w:color w:val="auto"/>
                <w:kern w:val="0"/>
                <w:sz w:val="24"/>
                <w:szCs w:val="24"/>
                <w:lang w:val="en-US" w:eastAsia="zh-CN"/>
              </w:rPr>
            </w:pPr>
            <w:r>
              <w:rPr>
                <w:rFonts w:hint="eastAsia" w:hAnsi="宋体" w:cs="宋体"/>
                <w:color w:val="auto"/>
                <w:kern w:val="0"/>
                <w:sz w:val="24"/>
                <w:szCs w:val="24"/>
                <w:lang w:val="en-US" w:eastAsia="zh-CN"/>
              </w:rPr>
              <w:t>9.17</w:t>
            </w:r>
          </w:p>
        </w:tc>
        <w:tc>
          <w:tcPr>
            <w:tcW w:w="163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auto"/>
                <w:kern w:val="0"/>
                <w:sz w:val="24"/>
                <w:szCs w:val="24"/>
              </w:rPr>
            </w:pPr>
            <w:r>
              <w:rPr>
                <w:rFonts w:hint="eastAsia" w:hAnsi="宋体" w:cs="宋体"/>
                <w:color w:val="auto"/>
                <w:kern w:val="0"/>
                <w:sz w:val="24"/>
                <w:szCs w:val="24"/>
                <w:lang w:val="en-US" w:eastAsia="zh-CN"/>
              </w:rPr>
              <w:t>91.7</w:t>
            </w:r>
            <w:r>
              <w:rPr>
                <w:rFonts w:hint="eastAsia" w:hAnsi="宋体" w:cs="宋体"/>
                <w:color w:val="auto"/>
                <w:kern w:val="0"/>
                <w:sz w:val="24"/>
                <w:szCs w:val="24"/>
              </w:rPr>
              <w:t>%</w:t>
            </w:r>
          </w:p>
        </w:tc>
      </w:tr>
    </w:tbl>
    <w:p>
      <w:pPr>
        <w:ind w:firstLine="560"/>
        <w:rPr>
          <w:color w:val="auto"/>
        </w:rPr>
      </w:pPr>
      <w:r>
        <w:rPr>
          <w:rFonts w:hint="eastAsia"/>
          <w:color w:val="auto"/>
        </w:rPr>
        <w:t>2021年度，我部年初预算数27524.04万元，经调整，全年预算资金总额为</w:t>
      </w:r>
      <w:r>
        <w:rPr>
          <w:rFonts w:hint="eastAsia"/>
          <w:color w:val="auto"/>
          <w:lang w:val="en-US" w:eastAsia="zh-CN"/>
        </w:rPr>
        <w:t>35999.14</w:t>
      </w:r>
      <w:r>
        <w:rPr>
          <w:rFonts w:hint="eastAsia"/>
          <w:color w:val="auto"/>
        </w:rPr>
        <w:t>万元，根据年末部门整体支出决算，我部于年内实际支出</w:t>
      </w:r>
      <w:r>
        <w:rPr>
          <w:rFonts w:hint="eastAsia"/>
          <w:color w:val="auto"/>
          <w:lang w:val="en-US" w:eastAsia="zh-CN"/>
        </w:rPr>
        <w:t>33013.5</w:t>
      </w:r>
      <w:r>
        <w:rPr>
          <w:rFonts w:hint="eastAsia"/>
          <w:color w:val="auto"/>
        </w:rPr>
        <w:t>万元，整体支出预算执行率为</w:t>
      </w:r>
      <w:r>
        <w:rPr>
          <w:rFonts w:hint="eastAsia"/>
          <w:color w:val="auto"/>
          <w:lang w:val="en-US" w:eastAsia="zh-CN"/>
        </w:rPr>
        <w:t>91.7</w:t>
      </w:r>
      <w:r>
        <w:rPr>
          <w:rFonts w:hint="eastAsia"/>
          <w:color w:val="auto"/>
        </w:rPr>
        <w:t>%。指标分值10分，自评得分</w:t>
      </w:r>
      <w:r>
        <w:rPr>
          <w:rFonts w:hint="eastAsia"/>
          <w:color w:val="auto"/>
          <w:lang w:val="en-US" w:eastAsia="zh-CN"/>
        </w:rPr>
        <w:t>9.17</w:t>
      </w:r>
      <w:r>
        <w:rPr>
          <w:rFonts w:hint="eastAsia"/>
          <w:color w:val="auto"/>
        </w:rPr>
        <w:t>分，得分率</w:t>
      </w:r>
      <w:r>
        <w:rPr>
          <w:rFonts w:hint="eastAsia"/>
          <w:color w:val="auto"/>
          <w:lang w:val="en-US" w:eastAsia="zh-CN"/>
        </w:rPr>
        <w:t>91.7</w:t>
      </w:r>
      <w:r>
        <w:rPr>
          <w:rFonts w:hint="eastAsia"/>
          <w:color w:val="auto"/>
        </w:rPr>
        <w:t>%。</w:t>
      </w:r>
    </w:p>
    <w:p>
      <w:pPr>
        <w:pStyle w:val="4"/>
        <w:ind w:firstLine="562"/>
      </w:pPr>
      <w:bookmarkStart w:id="46" w:name="_Toc65230997"/>
      <w:bookmarkStart w:id="47" w:name="_Toc21467"/>
      <w:r>
        <w:t>2</w:t>
      </w:r>
      <w:r>
        <w:rPr>
          <w:rFonts w:hint="eastAsia"/>
        </w:rPr>
        <w:t>、</w:t>
      </w:r>
      <w:r>
        <w:t>部门管理</w:t>
      </w:r>
      <w:bookmarkEnd w:id="46"/>
      <w:bookmarkEnd w:id="47"/>
    </w:p>
    <w:p>
      <w:pPr>
        <w:ind w:firstLine="560"/>
      </w:pPr>
      <w:r>
        <w:rPr>
          <w:rFonts w:hint="eastAsia"/>
        </w:rPr>
        <w:t>根据《</w:t>
      </w:r>
      <w:r>
        <w:t>202</w:t>
      </w:r>
      <w:r>
        <w:rPr>
          <w:rFonts w:hint="eastAsia"/>
        </w:rPr>
        <w:t>1</w:t>
      </w:r>
      <w:r>
        <w:t>年</w:t>
      </w:r>
      <w:r>
        <w:rPr>
          <w:rFonts w:hint="eastAsia"/>
        </w:rPr>
        <w:t>中共甘肃省委宣传部</w:t>
      </w:r>
      <w:r>
        <w:t>部门整体支出绩效自评表》，一级指标部门管理下设</w:t>
      </w:r>
      <w:r>
        <w:rPr>
          <w:rFonts w:hint="eastAsia"/>
        </w:rPr>
        <w:t>10</w:t>
      </w:r>
      <w:r>
        <w:t>个三级指标，指标</w:t>
      </w:r>
      <w:r>
        <w:rPr>
          <w:rFonts w:hint="eastAsia"/>
        </w:rPr>
        <w:t>分值</w:t>
      </w:r>
      <w:r>
        <w:t>合计</w:t>
      </w:r>
      <w:r>
        <w:rPr>
          <w:rFonts w:hint="eastAsia"/>
        </w:rPr>
        <w:t>20</w:t>
      </w:r>
      <w:r>
        <w:t>分，自评得分</w:t>
      </w:r>
      <w:r>
        <w:rPr>
          <w:rFonts w:hint="eastAsia"/>
        </w:rPr>
        <w:t>17.95</w:t>
      </w:r>
      <w:r>
        <w:t>分，得分率为</w:t>
      </w:r>
      <w:r>
        <w:rPr>
          <w:rFonts w:hint="eastAsia"/>
        </w:rPr>
        <w:t>89.75</w:t>
      </w:r>
      <w:r>
        <w:t>%。</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0"/>
        <w:gridCol w:w="1470"/>
        <w:gridCol w:w="1574"/>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三级指标</w:t>
            </w:r>
          </w:p>
        </w:tc>
        <w:tc>
          <w:tcPr>
            <w:tcW w:w="147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年度指标值</w:t>
            </w:r>
          </w:p>
        </w:tc>
        <w:tc>
          <w:tcPr>
            <w:tcW w:w="157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实际完成值</w:t>
            </w:r>
          </w:p>
        </w:tc>
        <w:tc>
          <w:tcPr>
            <w:tcW w:w="850"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分值</w:t>
            </w:r>
          </w:p>
        </w:tc>
        <w:tc>
          <w:tcPr>
            <w:tcW w:w="85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基本支出预算执行率</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91.80%</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项目支出预算执行率</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r>
              <w:rPr>
                <w:rFonts w:hint="eastAsia" w:ascii="仿宋_GB2312" w:hAnsi="宋体" w:eastAsia="仿宋_GB2312" w:cs="宋体"/>
                <w:color w:val="000000"/>
                <w:kern w:val="0"/>
                <w:sz w:val="24"/>
                <w:szCs w:val="24"/>
                <w:lang w:val="en-US" w:eastAsia="zh-CN"/>
              </w:rPr>
              <w:t>2.69</w:t>
            </w:r>
            <w:r>
              <w:rPr>
                <w:rFonts w:hint="eastAsia" w:ascii="仿宋_GB2312" w:hAnsi="宋体" w:eastAsia="仿宋_GB2312" w:cs="宋体"/>
                <w:color w:val="000000"/>
                <w:kern w:val="0"/>
                <w:sz w:val="24"/>
                <w:szCs w:val="24"/>
              </w:rPr>
              <w:t>%</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“三公经费”控制率</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6.42%</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0.06</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结转结余变动率</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-0.78%</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财务管理制度健全性</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健全</w:t>
            </w:r>
          </w:p>
        </w:tc>
        <w:tc>
          <w:tcPr>
            <w:tcW w:w="1574" w:type="dxa"/>
            <w:vAlign w:val="center"/>
          </w:tcPr>
          <w:p>
            <w:pPr>
              <w:pStyle w:val="8"/>
              <w:spacing w:line="240" w:lineRule="auto"/>
              <w:ind w:firstLine="0" w:firstLineChars="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100%</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资金使用规范性</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规范</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100%</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政府采购规范性</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采购管理</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100%</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资产管理规范性</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规范</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100%</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在职人员控制率</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85</w:t>
            </w:r>
            <w:r>
              <w:rPr>
                <w:rFonts w:hint="eastAsia" w:ascii="仿宋_GB2312" w:hAnsi="宋体" w:eastAsia="仿宋_GB2312" w:cs="宋体"/>
                <w:color w:val="000000"/>
                <w:kern w:val="0"/>
                <w:sz w:val="24"/>
                <w:szCs w:val="24"/>
              </w:rPr>
              <w:t>%</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851" w:type="dxa"/>
            <w:vAlign w:val="center"/>
          </w:tcPr>
          <w:p>
            <w:pPr>
              <w:pStyle w:val="8"/>
              <w:spacing w:line="240" w:lineRule="auto"/>
              <w:ind w:firstLine="0" w:firstLineChars="0"/>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rPr>
              <w:t>0.8</w:t>
            </w:r>
            <w:r>
              <w:rPr>
                <w:rFonts w:hint="eastAsia" w:ascii="仿宋_GB2312" w:hAnsi="宋体" w:eastAsia="仿宋_GB2312" w:cs="宋体"/>
                <w:color w:val="000000"/>
                <w:kern w:val="0"/>
                <w:sz w:val="24"/>
                <w:szCs w:val="24"/>
                <w:lang w:val="en-US" w:eastAsia="zh-CN"/>
              </w:rPr>
              <w:t>5</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8</w:t>
            </w:r>
            <w:r>
              <w:rPr>
                <w:rFonts w:hint="eastAsia" w:ascii="仿宋_GB2312" w:hAnsi="宋体" w:eastAsia="仿宋_GB2312" w:cs="宋体"/>
                <w:color w:val="000000"/>
                <w:kern w:val="0"/>
                <w:sz w:val="24"/>
                <w:szCs w:val="24"/>
                <w:lang w:val="en-US" w:eastAsia="zh-CN"/>
              </w:rPr>
              <w:t>5</w:t>
            </w:r>
            <w:r>
              <w:rPr>
                <w:rFonts w:hint="eastAsia" w:ascii="仿宋_GB2312" w:hAnsi="宋体" w:eastAsia="仿宋_GB2312"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0" w:type="dxa"/>
            <w:vAlign w:val="center"/>
          </w:tcPr>
          <w:p>
            <w:pPr>
              <w:pStyle w:val="8"/>
              <w:spacing w:line="240" w:lineRule="auto"/>
              <w:ind w:firstLine="0" w:firstLineChars="0"/>
              <w:jc w:val="left"/>
              <w:rPr>
                <w:rFonts w:ascii="仿宋_GB2312" w:eastAsia="仿宋_GB2312"/>
                <w:sz w:val="24"/>
                <w:szCs w:val="24"/>
              </w:rPr>
            </w:pPr>
            <w:r>
              <w:rPr>
                <w:rFonts w:hint="eastAsia" w:ascii="仿宋_GB2312" w:hAnsi="宋体" w:eastAsia="仿宋_GB2312" w:cs="宋体"/>
                <w:color w:val="000000"/>
                <w:kern w:val="0"/>
                <w:sz w:val="24"/>
                <w:szCs w:val="24"/>
              </w:rPr>
              <w:t>重点工作管理制度健全性</w:t>
            </w:r>
          </w:p>
        </w:tc>
        <w:tc>
          <w:tcPr>
            <w:tcW w:w="147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健全</w:t>
            </w:r>
          </w:p>
        </w:tc>
        <w:tc>
          <w:tcPr>
            <w:tcW w:w="1574"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100%</w:t>
            </w:r>
          </w:p>
        </w:tc>
        <w:tc>
          <w:tcPr>
            <w:tcW w:w="850"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851" w:type="dxa"/>
            <w:vAlign w:val="center"/>
          </w:tcPr>
          <w:p>
            <w:pPr>
              <w:pStyle w:val="8"/>
              <w:spacing w:line="240" w:lineRule="auto"/>
              <w:ind w:firstLine="0" w:firstLineChars="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4" w:type="dxa"/>
            <w:gridSpan w:val="3"/>
            <w:vAlign w:val="center"/>
          </w:tcPr>
          <w:p>
            <w:pPr>
              <w:pStyle w:val="8"/>
              <w:spacing w:line="240" w:lineRule="auto"/>
              <w:ind w:firstLine="0" w:firstLineChars="0"/>
              <w:jc w:val="center"/>
              <w:rPr>
                <w:rFonts w:ascii="仿宋_GB2312" w:eastAsia="仿宋_GB2312"/>
                <w:b/>
                <w:bCs/>
                <w:sz w:val="24"/>
                <w:szCs w:val="24"/>
              </w:rPr>
            </w:pPr>
            <w:r>
              <w:rPr>
                <w:rFonts w:hint="eastAsia" w:ascii="仿宋_GB2312" w:hAnsi="宋体" w:eastAsia="仿宋_GB2312" w:cs="宋体"/>
                <w:b/>
                <w:bCs/>
                <w:color w:val="000000"/>
                <w:kern w:val="0"/>
                <w:sz w:val="24"/>
                <w:szCs w:val="24"/>
              </w:rPr>
              <w:t>合计</w:t>
            </w:r>
          </w:p>
        </w:tc>
        <w:tc>
          <w:tcPr>
            <w:tcW w:w="850" w:type="dxa"/>
            <w:vAlign w:val="center"/>
          </w:tcPr>
          <w:p>
            <w:pPr>
              <w:pStyle w:val="8"/>
              <w:spacing w:line="240" w:lineRule="auto"/>
              <w:ind w:firstLine="0" w:firstLineChars="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20</w:t>
            </w:r>
          </w:p>
        </w:tc>
        <w:tc>
          <w:tcPr>
            <w:tcW w:w="851" w:type="dxa"/>
            <w:vAlign w:val="center"/>
          </w:tcPr>
          <w:p>
            <w:pPr>
              <w:pStyle w:val="8"/>
              <w:spacing w:line="240" w:lineRule="auto"/>
              <w:ind w:firstLine="0" w:firstLineChars="0"/>
              <w:jc w:val="center"/>
              <w:rPr>
                <w:rFonts w:hint="eastAsia" w:ascii="仿宋_GB2312" w:eastAsia="仿宋_GB2312"/>
                <w:b/>
                <w:bCs/>
                <w:sz w:val="24"/>
                <w:szCs w:val="24"/>
                <w:lang w:eastAsia="zh-CN"/>
              </w:rPr>
            </w:pPr>
            <w:r>
              <w:rPr>
                <w:rFonts w:hint="eastAsia" w:ascii="仿宋_GB2312" w:eastAsia="仿宋_GB2312"/>
                <w:b/>
                <w:bCs/>
                <w:sz w:val="24"/>
                <w:szCs w:val="24"/>
              </w:rPr>
              <w:t>17.9</w:t>
            </w:r>
            <w:r>
              <w:rPr>
                <w:rFonts w:hint="eastAsia" w:ascii="仿宋_GB2312" w:eastAsia="仿宋_GB2312"/>
                <w:b/>
                <w:bCs/>
                <w:sz w:val="24"/>
                <w:szCs w:val="24"/>
                <w:lang w:val="en-US" w:eastAsia="zh-CN"/>
              </w:rPr>
              <w:t>1</w:t>
            </w:r>
          </w:p>
        </w:tc>
        <w:tc>
          <w:tcPr>
            <w:tcW w:w="1134"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hAnsi="宋体" w:eastAsia="仿宋_GB2312" w:cs="宋体"/>
                <w:b/>
                <w:bCs/>
                <w:color w:val="000000"/>
                <w:kern w:val="0"/>
                <w:sz w:val="24"/>
                <w:szCs w:val="24"/>
              </w:rPr>
              <w:t>89.</w:t>
            </w:r>
            <w:r>
              <w:rPr>
                <w:rFonts w:hint="eastAsia" w:ascii="仿宋_GB2312" w:hAnsi="宋体" w:eastAsia="仿宋_GB2312" w:cs="宋体"/>
                <w:b/>
                <w:bCs/>
                <w:color w:val="000000"/>
                <w:kern w:val="0"/>
                <w:sz w:val="24"/>
                <w:szCs w:val="24"/>
                <w:lang w:val="en-US" w:eastAsia="zh-CN"/>
              </w:rPr>
              <w:t>5</w:t>
            </w:r>
            <w:r>
              <w:rPr>
                <w:rFonts w:hint="eastAsia" w:ascii="仿宋_GB2312" w:hAnsi="宋体" w:eastAsia="仿宋_GB2312" w:cs="宋体"/>
                <w:b/>
                <w:bCs/>
                <w:color w:val="000000"/>
                <w:kern w:val="0"/>
                <w:sz w:val="24"/>
                <w:szCs w:val="24"/>
              </w:rPr>
              <w:t>5%</w:t>
            </w:r>
          </w:p>
        </w:tc>
      </w:tr>
    </w:tbl>
    <w:p>
      <w:pPr>
        <w:ind w:firstLine="562"/>
        <w:rPr>
          <w:rFonts w:hAnsi="宋体"/>
          <w:szCs w:val="28"/>
        </w:rPr>
      </w:pPr>
      <w:r>
        <w:rPr>
          <w:rFonts w:hint="eastAsia" w:hAnsi="宋体"/>
          <w:b/>
          <w:bCs/>
          <w:szCs w:val="28"/>
        </w:rPr>
        <w:t>基本支出预算执行率：</w:t>
      </w:r>
      <w:r>
        <w:rPr>
          <w:rFonts w:hint="eastAsia" w:hAnsi="宋体"/>
          <w:szCs w:val="28"/>
        </w:rPr>
        <w:t>2021年度我部基本支出全年预算数4373.71万元，实际支出数4015.26万元，基本支出预算执行率为91.80%。</w:t>
      </w:r>
      <w:r>
        <w:rPr>
          <w:rFonts w:hint="eastAsia"/>
        </w:rPr>
        <w:t>指标分值2分，按评分</w:t>
      </w:r>
      <w:r>
        <w:t>标准</w:t>
      </w:r>
      <w:r>
        <w:rPr>
          <w:rFonts w:hint="eastAsia"/>
        </w:rPr>
        <w:t>得2分，得分率为100%。</w:t>
      </w:r>
    </w:p>
    <w:p>
      <w:pPr>
        <w:ind w:firstLine="562"/>
        <w:rPr>
          <w:rFonts w:hAnsi="宋体"/>
          <w:szCs w:val="28"/>
        </w:rPr>
      </w:pPr>
      <w:r>
        <w:rPr>
          <w:rFonts w:hint="eastAsia" w:hAnsi="宋体"/>
          <w:b/>
          <w:bCs/>
          <w:szCs w:val="28"/>
        </w:rPr>
        <w:t>项目支出预算执行率：</w:t>
      </w:r>
      <w:r>
        <w:rPr>
          <w:rFonts w:hint="eastAsia" w:hAnsi="宋体"/>
          <w:szCs w:val="28"/>
        </w:rPr>
        <w:t>2021年度我部项目支出全年预算数</w:t>
      </w:r>
      <w:r>
        <w:rPr>
          <w:rFonts w:hint="eastAsia" w:hAnsi="宋体"/>
          <w:szCs w:val="28"/>
          <w:lang w:val="en-US" w:eastAsia="zh-CN"/>
        </w:rPr>
        <w:t>31625.43</w:t>
      </w:r>
      <w:r>
        <w:rPr>
          <w:rFonts w:hint="eastAsia" w:hAnsi="宋体"/>
          <w:szCs w:val="28"/>
        </w:rPr>
        <w:t>万元，实际支出数</w:t>
      </w:r>
      <w:r>
        <w:rPr>
          <w:rFonts w:hint="eastAsia" w:hAnsi="宋体"/>
          <w:szCs w:val="28"/>
          <w:lang w:val="en-US" w:eastAsia="zh-CN"/>
        </w:rPr>
        <w:t>28998.24</w:t>
      </w:r>
      <w:r>
        <w:rPr>
          <w:rFonts w:hint="eastAsia" w:hAnsi="宋体"/>
          <w:szCs w:val="28"/>
        </w:rPr>
        <w:t>万元，项目支出预算执行率为9</w:t>
      </w:r>
      <w:r>
        <w:rPr>
          <w:rFonts w:hint="eastAsia" w:hAnsi="宋体"/>
          <w:szCs w:val="28"/>
          <w:lang w:val="en-US" w:eastAsia="zh-CN"/>
        </w:rPr>
        <w:t>2.69</w:t>
      </w:r>
      <w:r>
        <w:rPr>
          <w:rFonts w:hint="eastAsia" w:hAnsi="宋体"/>
          <w:szCs w:val="28"/>
        </w:rPr>
        <w:t>%。</w:t>
      </w:r>
      <w:r>
        <w:rPr>
          <w:rFonts w:hint="eastAsia"/>
        </w:rPr>
        <w:t>指标分值3分，按评分</w:t>
      </w:r>
      <w:r>
        <w:t>标准</w:t>
      </w:r>
      <w:r>
        <w:rPr>
          <w:rFonts w:hint="eastAsia"/>
        </w:rPr>
        <w:t>得3分，得分率为100%。</w:t>
      </w:r>
    </w:p>
    <w:p>
      <w:pPr>
        <w:ind w:firstLine="562"/>
      </w:pPr>
      <w:r>
        <w:rPr>
          <w:rFonts w:hint="eastAsia" w:hAnsi="宋体"/>
          <w:b/>
          <w:bCs/>
          <w:szCs w:val="28"/>
        </w:rPr>
        <w:t>“三公经费”控制率：</w:t>
      </w:r>
      <w:r>
        <w:rPr>
          <w:rFonts w:hint="eastAsia" w:hAnsi="宋体"/>
          <w:szCs w:val="28"/>
        </w:rPr>
        <w:t>我部认真落实中央八项规定，厉行节约，严控支出，做到了资金应用的合理与规范，近三年三公经费支出逐渐下降（如下图所示），2021年“三公”经费预算数291.82万元，实际支出数18.73万元，“三公经费”控制率为6.42%，符合目标值的要求，由于系统原因导致扣分，且下一年度应将年度指标值设置为“≤100%”。</w:t>
      </w:r>
      <w:r>
        <w:rPr>
          <w:rFonts w:hint="eastAsia"/>
        </w:rPr>
        <w:t>指标分值1分，按评分</w:t>
      </w:r>
      <w:r>
        <w:t>标准</w:t>
      </w:r>
      <w:r>
        <w:rPr>
          <w:rFonts w:hint="eastAsia"/>
        </w:rPr>
        <w:t>得0.06分，得分率为6%。</w:t>
      </w:r>
    </w:p>
    <w:p>
      <w:pPr>
        <w:ind w:firstLine="0" w:firstLineChars="0"/>
        <w:jc w:val="center"/>
        <w:rPr>
          <w:rFonts w:hint="eastAsia"/>
          <w:b/>
          <w:bCs/>
          <w:sz w:val="24"/>
          <w:szCs w:val="24"/>
        </w:rPr>
      </w:pPr>
      <w:r>
        <w:rPr>
          <w:rFonts w:hint="eastAsia"/>
          <w:b/>
          <w:bCs/>
          <w:sz w:val="24"/>
          <w:szCs w:val="24"/>
        </w:rPr>
        <w:t>2019—2021年三公经费预算数及统计数变化趋势图：单位（万元）</w:t>
      </w:r>
    </w:p>
    <w:p>
      <w:pPr>
        <w:ind w:firstLine="0" w:firstLineChars="0"/>
        <w:jc w:val="center"/>
      </w:pPr>
      <w:r>
        <w:drawing>
          <wp:inline distT="0" distB="0" distL="114300" distR="114300">
            <wp:extent cx="5039995" cy="2339975"/>
            <wp:effectExtent l="4445" t="4445" r="22860"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562"/>
        <w:rPr>
          <w:rFonts w:hint="eastAsia" w:hAnsi="宋体"/>
          <w:b/>
          <w:bCs/>
          <w:sz w:val="24"/>
          <w:szCs w:val="24"/>
        </w:rPr>
      </w:pPr>
      <w:r>
        <w:rPr>
          <w:rFonts w:hint="eastAsia" w:hAnsi="宋体"/>
          <w:b/>
          <w:bCs/>
          <w:szCs w:val="28"/>
        </w:rPr>
        <w:t>结转结余变动率：</w:t>
      </w:r>
      <w:r>
        <w:rPr>
          <w:rFonts w:hint="eastAsia" w:hAnsi="宋体"/>
          <w:szCs w:val="28"/>
        </w:rPr>
        <w:t>2019年度我部结转结余资金2400.44万元，2020年结转结余资金3022.56万元，2021年结转结余资金2998.91万元，由于近年受疫情等诸方面因素影响，导致部分项目未能及时实施，近三年结转结余资金呈上升趋势（如下图所示）。2021年我部结转结余资金变动率为-0.78%，较去年有所下降，达到了预期目标值，由于系统原因导致扣分（系统得分为负值，根据实际情况此项不得分，整体得分情况以报告为准），且下一年度应将年度指标值设置为“≤0%”。指标分值1分，按评分标准得0分，得分率为0%。</w:t>
      </w:r>
    </w:p>
    <w:p>
      <w:pPr>
        <w:ind w:firstLine="0" w:firstLineChars="0"/>
        <w:jc w:val="center"/>
        <w:rPr>
          <w:rFonts w:hAnsi="宋体"/>
          <w:sz w:val="24"/>
          <w:szCs w:val="24"/>
        </w:rPr>
      </w:pPr>
      <w:r>
        <w:rPr>
          <w:rFonts w:hint="eastAsia" w:hAnsi="宋体"/>
          <w:b/>
          <w:bCs/>
          <w:sz w:val="24"/>
          <w:szCs w:val="24"/>
        </w:rPr>
        <w:t>2019—2021年结转结余资金变化趋势图：单位（万元）</w:t>
      </w:r>
    </w:p>
    <w:p>
      <w:pPr>
        <w:ind w:left="0" w:leftChars="0" w:firstLine="0" w:firstLineChars="0"/>
        <w:jc w:val="center"/>
        <w:rPr>
          <w:rFonts w:hAnsi="宋体"/>
          <w:szCs w:val="28"/>
        </w:rPr>
      </w:pPr>
      <w:r>
        <w:drawing>
          <wp:inline distT="0" distB="0" distL="114300" distR="114300">
            <wp:extent cx="5039995" cy="1800225"/>
            <wp:effectExtent l="4445" t="4445" r="22860" b="50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ind w:firstLine="562"/>
        <w:jc w:val="both"/>
        <w:textAlignment w:val="auto"/>
        <w:rPr>
          <w:rFonts w:hAnsi="宋体"/>
          <w:szCs w:val="28"/>
        </w:rPr>
      </w:pPr>
      <w:r>
        <w:rPr>
          <w:rFonts w:hint="eastAsia" w:hAnsi="宋体"/>
          <w:b/>
          <w:bCs/>
          <w:szCs w:val="28"/>
        </w:rPr>
        <w:t>财务管理制度健全性：</w:t>
      </w:r>
      <w:r>
        <w:rPr>
          <w:rFonts w:hint="eastAsia" w:hAnsi="宋体"/>
          <w:szCs w:val="28"/>
        </w:rPr>
        <w:t>为进一步规范财务行为，强化财务管理，加强廉政风险防控，保证经济活动合法合规、资产安全和使用有效、财务信息真实完整，根据《中华人民共和国会计法》《中华人民共和国预算法》《行政单位财务规则》（财政部令第71号）等法律法规，结合我部实际制定了《中共甘肃省委宣传部财务管理办法》，财务管理制度比较健全，达到了既定目标值。指标分值2分，按评分标准得2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资金使用规范性：</w:t>
      </w:r>
      <w:r>
        <w:rPr>
          <w:rFonts w:hint="eastAsia" w:hAnsi="宋体"/>
          <w:szCs w:val="28"/>
        </w:rPr>
        <w:t>2021年度我部根据《会计法》《预算法》《政府会计制度》等法律、行政法规和部门规章，严格按照政府会计制度执行财务会计核算和预算会计核算，管理好财政预算资金，我部资金支出总体上审批程序合规、手续齐全，支出内容符合财政预算批复规定的用途，资金使用比较规范，达到了既定目标值。指标分值3分，按评分标准得3分，得分率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color w:val="000000" w:themeColor="text1"/>
          <w14:textFill>
            <w14:solidFill>
              <w14:schemeClr w14:val="tx1"/>
            </w14:solidFill>
          </w14:textFill>
        </w:rPr>
      </w:pPr>
      <w:r>
        <w:rPr>
          <w:rFonts w:hint="eastAsia" w:hAnsi="宋体"/>
          <w:b/>
          <w:bCs/>
          <w:szCs w:val="28"/>
        </w:rPr>
        <w:t>政府采购规范性：</w:t>
      </w:r>
      <w:r>
        <w:rPr>
          <w:rFonts w:hint="eastAsia" w:hAnsi="宋体"/>
          <w:szCs w:val="28"/>
        </w:rPr>
        <w:t>我部政府采购事项严格按照《中华人民共和国政府采购法》《中华人民共和国政府采购法实施条例》等制度执行，部办公室根据各处室下一年度工作需求编制政府采购预算，制订政府采购计划，无政府采购预算但确需追加的采购项目，须报省财政厅批准后方可采购，未经审批不得自行采购，实施采购事项时，按照规定办理政府采购手续、执行采购物品验收程序、保存政府采购业务档案等，采购业务符合政府采购相关规定，达到了既定目标值。指标分值2分，按评分标准得分2分，得分率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rPr>
        <w:t>针对资产管理工作，我部严格按照《甘肃省行政事业单位国有资产管理办法》（省政府令第52号）执行，资产管理遵循资产管理与预算管理相结合、资产管理与财务管理相结合、实物管理与价值管理相结合的原则，资产管理制度健全，各类资产保存完整、使用合规、配置合理、处置规范，达到了既定目标值。指标分值2分，按评分标准得2分，得分率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截止2021年年底，我部实有编制人数</w:t>
      </w:r>
      <w:r>
        <w:rPr>
          <w:rFonts w:hint="eastAsia" w:hAnsi="宋体"/>
          <w:szCs w:val="28"/>
          <w:lang w:val="en-US" w:eastAsia="zh-CN"/>
        </w:rPr>
        <w:t>246</w:t>
      </w:r>
      <w:r>
        <w:rPr>
          <w:rFonts w:hint="eastAsia" w:hAnsi="宋体"/>
          <w:szCs w:val="28"/>
        </w:rPr>
        <w:t>人，在职人员</w:t>
      </w:r>
      <w:r>
        <w:rPr>
          <w:rFonts w:hint="eastAsia" w:hAnsi="宋体"/>
          <w:szCs w:val="28"/>
          <w:lang w:val="en-US" w:eastAsia="zh-CN"/>
        </w:rPr>
        <w:t>209</w:t>
      </w:r>
      <w:r>
        <w:rPr>
          <w:rFonts w:hint="eastAsia" w:hAnsi="宋体"/>
          <w:szCs w:val="28"/>
        </w:rPr>
        <w:t>人，在职人员控制率为</w:t>
      </w:r>
      <w:r>
        <w:rPr>
          <w:rFonts w:hint="eastAsia" w:hAnsi="宋体"/>
          <w:szCs w:val="28"/>
          <w:lang w:val="en-US" w:eastAsia="zh-CN"/>
        </w:rPr>
        <w:t>84.95</w:t>
      </w:r>
      <w:r>
        <w:rPr>
          <w:rFonts w:hint="eastAsia" w:hAnsi="宋体"/>
          <w:szCs w:val="28"/>
        </w:rPr>
        <w:t>%，人员管理较为规范，部门整体的财政供养人员规模得到有效控制，符合要求。但系统中该指标的得分按照定性指标的得分方式来处理导致扣分，且下一年度应将年度指标值设置为“≤100%”。指标分值1分，按评分标准得0.8</w:t>
      </w:r>
      <w:r>
        <w:rPr>
          <w:rFonts w:hint="eastAsia" w:hAnsi="宋体"/>
          <w:szCs w:val="28"/>
          <w:lang w:val="en-US" w:eastAsia="zh-CN"/>
        </w:rPr>
        <w:t>5</w:t>
      </w:r>
      <w:r>
        <w:rPr>
          <w:rFonts w:hint="eastAsia" w:hAnsi="宋体"/>
          <w:szCs w:val="28"/>
        </w:rPr>
        <w:t>分，得分率8</w:t>
      </w:r>
      <w:r>
        <w:rPr>
          <w:rFonts w:hint="eastAsia" w:hAnsi="宋体"/>
          <w:szCs w:val="28"/>
          <w:lang w:val="en-US" w:eastAsia="zh-CN"/>
        </w:rPr>
        <w:t>5</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重点工作管理制度健全性：</w:t>
      </w:r>
      <w:r>
        <w:rPr>
          <w:rFonts w:hint="eastAsia" w:hAnsi="宋体"/>
          <w:szCs w:val="28"/>
        </w:rPr>
        <w:t>我部针对重点工作制定有《省委宣传部领导议事决策、批办文件、出席公务活动和督查督办工作规程》《中共甘肃省委宣传部部务会议事规则》等相应的工作管理制度，能够有效指导重点工作的推进和实施。指标分值3分，按评分标准得3分，得分率100%。</w:t>
      </w:r>
    </w:p>
    <w:p>
      <w:pPr>
        <w:pStyle w:val="4"/>
        <w:ind w:firstLine="562"/>
      </w:pPr>
      <w:bookmarkStart w:id="48" w:name="_Toc27131"/>
      <w:bookmarkStart w:id="49" w:name="_Toc65230998"/>
      <w:r>
        <w:rPr>
          <w:rFonts w:hint="eastAsia"/>
        </w:rPr>
        <w:t>3、履职效果</w:t>
      </w:r>
      <w:bookmarkEnd w:id="48"/>
      <w:bookmarkEnd w:id="49"/>
    </w:p>
    <w:p>
      <w:pPr>
        <w:ind w:firstLine="560"/>
        <w:rPr>
          <w:rFonts w:hAnsi="宋体"/>
          <w:szCs w:val="28"/>
        </w:rPr>
      </w:pPr>
      <w:r>
        <w:rPr>
          <w:rFonts w:hint="eastAsia" w:hAnsi="宋体"/>
          <w:b/>
          <w:bCs/>
          <w:szCs w:val="28"/>
        </w:rPr>
        <w:t>（1）部门履职目标</w:t>
      </w:r>
    </w:p>
    <w:p>
      <w:pPr>
        <w:ind w:firstLine="560"/>
        <w:rPr>
          <w:rFonts w:hAnsi="宋体"/>
          <w:szCs w:val="28"/>
        </w:rPr>
      </w:pPr>
      <w:r>
        <w:rPr>
          <w:rFonts w:hint="eastAsia" w:hAnsi="宋体"/>
          <w:szCs w:val="28"/>
        </w:rPr>
        <w:t>我部2021年部门履职目标下设25个三级指标，指标分值合计33分，自评得分31.5分，得分率95.45%。</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4"/>
        <w:gridCol w:w="1140"/>
        <w:gridCol w:w="994"/>
        <w:gridCol w:w="750"/>
        <w:gridCol w:w="7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594" w:type="dxa"/>
            <w:vAlign w:val="center"/>
          </w:tcPr>
          <w:p>
            <w:pPr>
              <w:spacing w:line="240" w:lineRule="auto"/>
              <w:ind w:firstLine="0" w:firstLineChars="0"/>
              <w:jc w:val="center"/>
              <w:rPr>
                <w:b/>
                <w:bCs/>
                <w:sz w:val="24"/>
                <w:szCs w:val="21"/>
              </w:rPr>
            </w:pPr>
            <w:r>
              <w:rPr>
                <w:rFonts w:hint="eastAsia"/>
                <w:b/>
                <w:bCs/>
                <w:sz w:val="24"/>
                <w:szCs w:val="21"/>
              </w:rPr>
              <w:t>三级指标</w:t>
            </w:r>
          </w:p>
        </w:tc>
        <w:tc>
          <w:tcPr>
            <w:tcW w:w="1140" w:type="dxa"/>
            <w:vAlign w:val="center"/>
          </w:tcPr>
          <w:p>
            <w:pPr>
              <w:spacing w:line="240" w:lineRule="auto"/>
              <w:ind w:firstLine="0" w:firstLineChars="0"/>
              <w:jc w:val="center"/>
              <w:rPr>
                <w:b/>
                <w:bCs/>
                <w:sz w:val="24"/>
                <w:szCs w:val="21"/>
              </w:rPr>
            </w:pPr>
            <w:r>
              <w:rPr>
                <w:b/>
                <w:bCs/>
                <w:sz w:val="24"/>
                <w:szCs w:val="21"/>
              </w:rPr>
              <w:t>年度目标值</w:t>
            </w:r>
          </w:p>
        </w:tc>
        <w:tc>
          <w:tcPr>
            <w:tcW w:w="994" w:type="dxa"/>
            <w:vAlign w:val="center"/>
          </w:tcPr>
          <w:p>
            <w:pPr>
              <w:spacing w:line="240" w:lineRule="auto"/>
              <w:ind w:firstLine="0" w:firstLineChars="0"/>
              <w:jc w:val="center"/>
              <w:rPr>
                <w:b/>
                <w:bCs/>
                <w:sz w:val="24"/>
                <w:szCs w:val="21"/>
              </w:rPr>
            </w:pPr>
            <w:r>
              <w:rPr>
                <w:b/>
                <w:bCs/>
                <w:sz w:val="24"/>
                <w:szCs w:val="21"/>
              </w:rPr>
              <w:t>实际完成值</w:t>
            </w:r>
          </w:p>
        </w:tc>
        <w:tc>
          <w:tcPr>
            <w:tcW w:w="750" w:type="dxa"/>
            <w:vAlign w:val="center"/>
          </w:tcPr>
          <w:p>
            <w:pPr>
              <w:spacing w:line="240" w:lineRule="auto"/>
              <w:ind w:firstLine="0" w:firstLineChars="0"/>
              <w:jc w:val="center"/>
              <w:rPr>
                <w:b/>
                <w:bCs/>
                <w:sz w:val="24"/>
                <w:szCs w:val="21"/>
              </w:rPr>
            </w:pPr>
            <w:r>
              <w:rPr>
                <w:b/>
                <w:bCs/>
                <w:sz w:val="24"/>
                <w:szCs w:val="21"/>
              </w:rPr>
              <w:t>分值</w:t>
            </w:r>
          </w:p>
        </w:tc>
        <w:tc>
          <w:tcPr>
            <w:tcW w:w="752" w:type="dxa"/>
            <w:vAlign w:val="center"/>
          </w:tcPr>
          <w:p>
            <w:pPr>
              <w:spacing w:line="240" w:lineRule="auto"/>
              <w:ind w:firstLine="0" w:firstLineChars="0"/>
              <w:jc w:val="center"/>
              <w:rPr>
                <w:b/>
                <w:bCs/>
                <w:sz w:val="24"/>
                <w:szCs w:val="21"/>
              </w:rPr>
            </w:pPr>
            <w:r>
              <w:rPr>
                <w:b/>
                <w:bCs/>
                <w:sz w:val="24"/>
                <w:szCs w:val="21"/>
              </w:rPr>
              <w:t>得分</w:t>
            </w:r>
          </w:p>
        </w:tc>
        <w:tc>
          <w:tcPr>
            <w:tcW w:w="992" w:type="dxa"/>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项目验收合格率</w:t>
            </w:r>
          </w:p>
        </w:tc>
        <w:tc>
          <w:tcPr>
            <w:tcW w:w="1140" w:type="dxa"/>
            <w:vAlign w:val="center"/>
          </w:tcPr>
          <w:p>
            <w:pPr>
              <w:spacing w:line="240" w:lineRule="auto"/>
              <w:ind w:firstLine="0" w:firstLineChars="0"/>
              <w:jc w:val="center"/>
              <w:rPr>
                <w:sz w:val="24"/>
                <w:szCs w:val="21"/>
              </w:rPr>
            </w:pPr>
            <w:r>
              <w:rPr>
                <w:rFonts w:hint="eastAsia"/>
                <w:sz w:val="24"/>
                <w:szCs w:val="21"/>
              </w:rPr>
              <w:t>=100%</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资金到位率</w:t>
            </w:r>
          </w:p>
        </w:tc>
        <w:tc>
          <w:tcPr>
            <w:tcW w:w="1140" w:type="dxa"/>
            <w:vAlign w:val="center"/>
          </w:tcPr>
          <w:p>
            <w:pPr>
              <w:spacing w:line="240" w:lineRule="auto"/>
              <w:ind w:firstLine="0" w:firstLineChars="0"/>
              <w:jc w:val="center"/>
              <w:rPr>
                <w:sz w:val="24"/>
                <w:szCs w:val="21"/>
              </w:rPr>
            </w:pPr>
            <w:r>
              <w:rPr>
                <w:rFonts w:hint="eastAsia"/>
                <w:sz w:val="24"/>
                <w:szCs w:val="21"/>
              </w:rPr>
              <w:t>=100%</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新闻宣传受众普及率（%）</w:t>
            </w:r>
          </w:p>
        </w:tc>
        <w:tc>
          <w:tcPr>
            <w:tcW w:w="1140" w:type="dxa"/>
            <w:vAlign w:val="center"/>
          </w:tcPr>
          <w:p>
            <w:pPr>
              <w:spacing w:line="240" w:lineRule="auto"/>
              <w:ind w:firstLine="0" w:firstLineChars="0"/>
              <w:jc w:val="center"/>
              <w:rPr>
                <w:sz w:val="24"/>
                <w:szCs w:val="21"/>
              </w:rPr>
            </w:pPr>
            <w:r>
              <w:rPr>
                <w:rFonts w:hint="eastAsia"/>
                <w:sz w:val="24"/>
                <w:szCs w:val="21"/>
              </w:rPr>
              <w:t>≥90%</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社科研究社会影响度</w:t>
            </w:r>
          </w:p>
        </w:tc>
        <w:tc>
          <w:tcPr>
            <w:tcW w:w="1140" w:type="dxa"/>
            <w:vAlign w:val="center"/>
          </w:tcPr>
          <w:p>
            <w:pPr>
              <w:spacing w:line="240" w:lineRule="auto"/>
              <w:ind w:firstLine="0" w:firstLineChars="0"/>
              <w:jc w:val="center"/>
              <w:rPr>
                <w:sz w:val="24"/>
                <w:szCs w:val="21"/>
              </w:rPr>
            </w:pPr>
            <w:r>
              <w:rPr>
                <w:rFonts w:hint="eastAsia"/>
                <w:sz w:val="24"/>
                <w:szCs w:val="21"/>
              </w:rPr>
              <w:t>≥90%</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推动文化产业发展</w:t>
            </w:r>
          </w:p>
        </w:tc>
        <w:tc>
          <w:tcPr>
            <w:tcW w:w="1140" w:type="dxa"/>
            <w:vAlign w:val="center"/>
          </w:tcPr>
          <w:p>
            <w:pPr>
              <w:spacing w:line="240" w:lineRule="auto"/>
              <w:ind w:firstLine="0" w:firstLineChars="0"/>
              <w:jc w:val="center"/>
              <w:rPr>
                <w:sz w:val="24"/>
                <w:szCs w:val="21"/>
              </w:rPr>
            </w:pPr>
            <w:r>
              <w:rPr>
                <w:rFonts w:hint="eastAsia"/>
                <w:sz w:val="24"/>
                <w:szCs w:val="21"/>
              </w:rPr>
              <w:t>持续推动</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繁荣甘肃省文化事业</w:t>
            </w:r>
          </w:p>
        </w:tc>
        <w:tc>
          <w:tcPr>
            <w:tcW w:w="1140" w:type="dxa"/>
            <w:vAlign w:val="center"/>
          </w:tcPr>
          <w:p>
            <w:pPr>
              <w:spacing w:line="240" w:lineRule="auto"/>
              <w:ind w:firstLine="0" w:firstLineChars="0"/>
              <w:jc w:val="center"/>
              <w:rPr>
                <w:sz w:val="24"/>
                <w:szCs w:val="21"/>
              </w:rPr>
            </w:pPr>
            <w:r>
              <w:rPr>
                <w:rFonts w:hint="eastAsia"/>
                <w:sz w:val="24"/>
                <w:szCs w:val="21"/>
              </w:rPr>
              <w:t>繁荣</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减少有害出版物传播</w:t>
            </w:r>
          </w:p>
        </w:tc>
        <w:tc>
          <w:tcPr>
            <w:tcW w:w="1140" w:type="dxa"/>
            <w:vAlign w:val="center"/>
          </w:tcPr>
          <w:p>
            <w:pPr>
              <w:spacing w:line="240" w:lineRule="auto"/>
              <w:ind w:firstLine="0" w:firstLineChars="0"/>
              <w:jc w:val="center"/>
              <w:rPr>
                <w:sz w:val="24"/>
                <w:szCs w:val="21"/>
              </w:rPr>
            </w:pPr>
            <w:r>
              <w:rPr>
                <w:rFonts w:hint="eastAsia"/>
                <w:sz w:val="24"/>
                <w:szCs w:val="21"/>
              </w:rPr>
              <w:t>减少</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提升群众文化素养水平</w:t>
            </w:r>
          </w:p>
        </w:tc>
        <w:tc>
          <w:tcPr>
            <w:tcW w:w="1140" w:type="dxa"/>
            <w:vAlign w:val="center"/>
          </w:tcPr>
          <w:p>
            <w:pPr>
              <w:spacing w:line="240" w:lineRule="auto"/>
              <w:ind w:firstLine="0" w:firstLineChars="0"/>
              <w:jc w:val="center"/>
              <w:rPr>
                <w:sz w:val="24"/>
                <w:szCs w:val="21"/>
              </w:rPr>
            </w:pPr>
            <w:r>
              <w:rPr>
                <w:rFonts w:hint="eastAsia"/>
                <w:sz w:val="24"/>
                <w:szCs w:val="21"/>
              </w:rPr>
              <w:t>提升</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资金覆盖率</w:t>
            </w:r>
          </w:p>
        </w:tc>
        <w:tc>
          <w:tcPr>
            <w:tcW w:w="1140" w:type="dxa"/>
            <w:vAlign w:val="center"/>
          </w:tcPr>
          <w:p>
            <w:pPr>
              <w:spacing w:line="240" w:lineRule="auto"/>
              <w:ind w:firstLine="0" w:firstLineChars="0"/>
              <w:jc w:val="center"/>
              <w:rPr>
                <w:sz w:val="24"/>
                <w:szCs w:val="21"/>
              </w:rPr>
            </w:pPr>
            <w:r>
              <w:rPr>
                <w:rFonts w:hint="eastAsia"/>
                <w:sz w:val="24"/>
                <w:szCs w:val="21"/>
              </w:rPr>
              <w:t>=100%</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重点工作会议开展场次</w:t>
            </w:r>
          </w:p>
        </w:tc>
        <w:tc>
          <w:tcPr>
            <w:tcW w:w="1140" w:type="dxa"/>
            <w:vAlign w:val="center"/>
          </w:tcPr>
          <w:p>
            <w:pPr>
              <w:spacing w:line="240" w:lineRule="auto"/>
              <w:ind w:firstLine="0" w:firstLineChars="0"/>
              <w:jc w:val="center"/>
              <w:rPr>
                <w:sz w:val="24"/>
                <w:szCs w:val="21"/>
              </w:rPr>
            </w:pPr>
            <w:r>
              <w:rPr>
                <w:rFonts w:hint="eastAsia"/>
                <w:sz w:val="24"/>
                <w:szCs w:val="21"/>
              </w:rPr>
              <w:t>≥6次</w:t>
            </w:r>
          </w:p>
        </w:tc>
        <w:tc>
          <w:tcPr>
            <w:tcW w:w="994" w:type="dxa"/>
            <w:vAlign w:val="center"/>
          </w:tcPr>
          <w:p>
            <w:pPr>
              <w:spacing w:line="240" w:lineRule="auto"/>
              <w:ind w:firstLine="0" w:firstLineChars="0"/>
              <w:jc w:val="center"/>
              <w:rPr>
                <w:sz w:val="24"/>
                <w:szCs w:val="21"/>
              </w:rPr>
            </w:pPr>
            <w:r>
              <w:rPr>
                <w:rFonts w:hint="eastAsia"/>
                <w:sz w:val="24"/>
                <w:szCs w:val="21"/>
                <w:lang w:val="en-US" w:eastAsia="zh-CN"/>
              </w:rPr>
              <w:t>17</w:t>
            </w:r>
            <w:r>
              <w:rPr>
                <w:rFonts w:hint="eastAsia"/>
                <w:sz w:val="24"/>
                <w:szCs w:val="21"/>
              </w:rPr>
              <w:t>次</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重点工作培训场次</w:t>
            </w:r>
          </w:p>
        </w:tc>
        <w:tc>
          <w:tcPr>
            <w:tcW w:w="1140" w:type="dxa"/>
            <w:vAlign w:val="center"/>
          </w:tcPr>
          <w:p>
            <w:pPr>
              <w:spacing w:line="240" w:lineRule="auto"/>
              <w:ind w:firstLine="0" w:firstLineChars="0"/>
              <w:jc w:val="center"/>
              <w:rPr>
                <w:sz w:val="24"/>
                <w:szCs w:val="21"/>
              </w:rPr>
            </w:pPr>
            <w:r>
              <w:rPr>
                <w:rFonts w:hint="eastAsia"/>
                <w:sz w:val="24"/>
                <w:szCs w:val="21"/>
              </w:rPr>
              <w:t>≥2次</w:t>
            </w:r>
          </w:p>
        </w:tc>
        <w:tc>
          <w:tcPr>
            <w:tcW w:w="994" w:type="dxa"/>
            <w:vAlign w:val="center"/>
          </w:tcPr>
          <w:p>
            <w:pPr>
              <w:spacing w:line="240" w:lineRule="auto"/>
              <w:ind w:firstLine="0" w:firstLineChars="0"/>
              <w:jc w:val="center"/>
              <w:rPr>
                <w:sz w:val="24"/>
                <w:szCs w:val="21"/>
              </w:rPr>
            </w:pPr>
            <w:r>
              <w:rPr>
                <w:rFonts w:hint="eastAsia"/>
                <w:sz w:val="24"/>
                <w:szCs w:val="21"/>
                <w:lang w:val="en-US" w:eastAsia="zh-CN"/>
              </w:rPr>
              <w:t>20</w:t>
            </w:r>
            <w:r>
              <w:rPr>
                <w:rFonts w:hint="eastAsia"/>
                <w:sz w:val="24"/>
                <w:szCs w:val="21"/>
              </w:rPr>
              <w:t>次</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重点工作活动开展场次</w:t>
            </w:r>
          </w:p>
        </w:tc>
        <w:tc>
          <w:tcPr>
            <w:tcW w:w="1140" w:type="dxa"/>
            <w:vAlign w:val="center"/>
          </w:tcPr>
          <w:p>
            <w:pPr>
              <w:spacing w:line="240" w:lineRule="auto"/>
              <w:ind w:firstLine="0" w:firstLineChars="0"/>
              <w:jc w:val="center"/>
              <w:rPr>
                <w:sz w:val="24"/>
                <w:szCs w:val="21"/>
              </w:rPr>
            </w:pPr>
            <w:r>
              <w:rPr>
                <w:rFonts w:hint="eastAsia"/>
                <w:sz w:val="24"/>
                <w:szCs w:val="21"/>
              </w:rPr>
              <w:t>≥4次</w:t>
            </w:r>
          </w:p>
        </w:tc>
        <w:tc>
          <w:tcPr>
            <w:tcW w:w="994" w:type="dxa"/>
            <w:vAlign w:val="center"/>
          </w:tcPr>
          <w:p>
            <w:pPr>
              <w:spacing w:line="240" w:lineRule="auto"/>
              <w:ind w:firstLine="0" w:firstLineChars="0"/>
              <w:jc w:val="center"/>
              <w:rPr>
                <w:sz w:val="24"/>
                <w:szCs w:val="21"/>
              </w:rPr>
            </w:pPr>
            <w:r>
              <w:rPr>
                <w:rFonts w:hint="eastAsia"/>
                <w:sz w:val="24"/>
                <w:szCs w:val="21"/>
                <w:lang w:val="en-US" w:eastAsia="zh-CN"/>
              </w:rPr>
              <w:t>55</w:t>
            </w:r>
            <w:r>
              <w:rPr>
                <w:rFonts w:hint="eastAsia"/>
                <w:sz w:val="24"/>
                <w:szCs w:val="21"/>
              </w:rPr>
              <w:t>次</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专题调研次数</w:t>
            </w:r>
          </w:p>
        </w:tc>
        <w:tc>
          <w:tcPr>
            <w:tcW w:w="1140" w:type="dxa"/>
            <w:vAlign w:val="center"/>
          </w:tcPr>
          <w:p>
            <w:pPr>
              <w:spacing w:line="240" w:lineRule="auto"/>
              <w:ind w:firstLine="0" w:firstLineChars="0"/>
              <w:jc w:val="center"/>
              <w:rPr>
                <w:sz w:val="24"/>
                <w:szCs w:val="21"/>
              </w:rPr>
            </w:pPr>
            <w:r>
              <w:rPr>
                <w:rFonts w:hint="eastAsia"/>
                <w:sz w:val="24"/>
                <w:szCs w:val="21"/>
              </w:rPr>
              <w:t>≥3次</w:t>
            </w:r>
          </w:p>
        </w:tc>
        <w:tc>
          <w:tcPr>
            <w:tcW w:w="994" w:type="dxa"/>
            <w:vAlign w:val="center"/>
          </w:tcPr>
          <w:p>
            <w:pPr>
              <w:spacing w:line="240" w:lineRule="auto"/>
              <w:ind w:firstLine="0" w:firstLineChars="0"/>
              <w:jc w:val="center"/>
              <w:rPr>
                <w:sz w:val="24"/>
                <w:szCs w:val="21"/>
              </w:rPr>
            </w:pPr>
            <w:r>
              <w:rPr>
                <w:rFonts w:hint="eastAsia"/>
                <w:sz w:val="24"/>
                <w:szCs w:val="21"/>
                <w:lang w:val="en-US" w:eastAsia="zh-CN"/>
              </w:rPr>
              <w:t>27</w:t>
            </w:r>
            <w:r>
              <w:rPr>
                <w:rFonts w:hint="eastAsia"/>
                <w:sz w:val="24"/>
                <w:szCs w:val="21"/>
              </w:rPr>
              <w:t>次</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公益广告宣传制作数量</w:t>
            </w:r>
          </w:p>
        </w:tc>
        <w:tc>
          <w:tcPr>
            <w:tcW w:w="1140" w:type="dxa"/>
            <w:vAlign w:val="center"/>
          </w:tcPr>
          <w:p>
            <w:pPr>
              <w:spacing w:line="240" w:lineRule="auto"/>
              <w:ind w:firstLine="0" w:firstLineChars="0"/>
              <w:jc w:val="center"/>
              <w:rPr>
                <w:sz w:val="24"/>
                <w:szCs w:val="21"/>
              </w:rPr>
            </w:pPr>
            <w:r>
              <w:rPr>
                <w:rFonts w:hint="eastAsia"/>
                <w:sz w:val="24"/>
                <w:szCs w:val="21"/>
              </w:rPr>
              <w:t>≥5部</w:t>
            </w:r>
          </w:p>
        </w:tc>
        <w:tc>
          <w:tcPr>
            <w:tcW w:w="994" w:type="dxa"/>
            <w:vAlign w:val="center"/>
          </w:tcPr>
          <w:p>
            <w:pPr>
              <w:spacing w:line="240" w:lineRule="auto"/>
              <w:ind w:firstLine="0" w:firstLineChars="0"/>
              <w:jc w:val="center"/>
              <w:rPr>
                <w:sz w:val="24"/>
                <w:szCs w:val="21"/>
              </w:rPr>
            </w:pPr>
            <w:r>
              <w:rPr>
                <w:rFonts w:hint="eastAsia"/>
                <w:sz w:val="24"/>
                <w:szCs w:val="21"/>
              </w:rPr>
              <w:t>5部</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甘肃精神文明建设杂志印制</w:t>
            </w:r>
          </w:p>
        </w:tc>
        <w:tc>
          <w:tcPr>
            <w:tcW w:w="1140" w:type="dxa"/>
            <w:vAlign w:val="center"/>
          </w:tcPr>
          <w:p>
            <w:pPr>
              <w:spacing w:line="240" w:lineRule="auto"/>
              <w:ind w:firstLine="0" w:firstLineChars="0"/>
              <w:jc w:val="center"/>
              <w:rPr>
                <w:sz w:val="24"/>
                <w:szCs w:val="21"/>
              </w:rPr>
            </w:pPr>
            <w:r>
              <w:rPr>
                <w:rFonts w:hint="eastAsia"/>
                <w:sz w:val="24"/>
                <w:szCs w:val="21"/>
              </w:rPr>
              <w:t>≥13000册</w:t>
            </w:r>
          </w:p>
        </w:tc>
        <w:tc>
          <w:tcPr>
            <w:tcW w:w="994" w:type="dxa"/>
            <w:vAlign w:val="center"/>
          </w:tcPr>
          <w:p>
            <w:pPr>
              <w:spacing w:line="240" w:lineRule="auto"/>
              <w:ind w:firstLine="0" w:firstLineChars="0"/>
              <w:jc w:val="center"/>
              <w:rPr>
                <w:sz w:val="24"/>
                <w:szCs w:val="21"/>
              </w:rPr>
            </w:pPr>
            <w:r>
              <w:rPr>
                <w:rFonts w:hint="eastAsia"/>
                <w:sz w:val="24"/>
                <w:szCs w:val="21"/>
              </w:rPr>
              <w:t>13200册</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《文明家庭风采》印制</w:t>
            </w:r>
          </w:p>
        </w:tc>
        <w:tc>
          <w:tcPr>
            <w:tcW w:w="1140" w:type="dxa"/>
            <w:vAlign w:val="center"/>
          </w:tcPr>
          <w:p>
            <w:pPr>
              <w:spacing w:line="240" w:lineRule="auto"/>
              <w:ind w:firstLine="0" w:firstLineChars="0"/>
              <w:jc w:val="center"/>
              <w:rPr>
                <w:sz w:val="24"/>
                <w:szCs w:val="21"/>
              </w:rPr>
            </w:pPr>
            <w:r>
              <w:rPr>
                <w:rFonts w:hint="eastAsia"/>
                <w:sz w:val="24"/>
                <w:szCs w:val="21"/>
              </w:rPr>
              <w:t>≥1000册</w:t>
            </w:r>
          </w:p>
        </w:tc>
        <w:tc>
          <w:tcPr>
            <w:tcW w:w="994" w:type="dxa"/>
            <w:vAlign w:val="center"/>
          </w:tcPr>
          <w:p>
            <w:pPr>
              <w:spacing w:line="240" w:lineRule="auto"/>
              <w:ind w:firstLine="0" w:firstLineChars="0"/>
              <w:jc w:val="center"/>
              <w:rPr>
                <w:sz w:val="24"/>
                <w:szCs w:val="21"/>
              </w:rPr>
            </w:pPr>
            <w:r>
              <w:rPr>
                <w:rFonts w:hint="eastAsia"/>
                <w:sz w:val="24"/>
                <w:szCs w:val="21"/>
              </w:rPr>
              <w:t>500册</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先进集体测评复查批次</w:t>
            </w:r>
          </w:p>
        </w:tc>
        <w:tc>
          <w:tcPr>
            <w:tcW w:w="1140" w:type="dxa"/>
            <w:vAlign w:val="center"/>
          </w:tcPr>
          <w:p>
            <w:pPr>
              <w:spacing w:line="240" w:lineRule="auto"/>
              <w:ind w:firstLine="0" w:firstLineChars="0"/>
              <w:jc w:val="center"/>
              <w:rPr>
                <w:sz w:val="24"/>
                <w:szCs w:val="21"/>
              </w:rPr>
            </w:pPr>
            <w:r>
              <w:rPr>
                <w:rFonts w:hint="eastAsia"/>
                <w:sz w:val="24"/>
                <w:szCs w:val="21"/>
              </w:rPr>
              <w:t>≥2批</w:t>
            </w:r>
          </w:p>
        </w:tc>
        <w:tc>
          <w:tcPr>
            <w:tcW w:w="994" w:type="dxa"/>
            <w:vAlign w:val="center"/>
          </w:tcPr>
          <w:p>
            <w:pPr>
              <w:spacing w:line="240" w:lineRule="auto"/>
              <w:ind w:firstLine="0" w:firstLineChars="0"/>
              <w:jc w:val="center"/>
              <w:rPr>
                <w:sz w:val="24"/>
                <w:szCs w:val="21"/>
              </w:rPr>
            </w:pPr>
            <w:r>
              <w:rPr>
                <w:rFonts w:hint="eastAsia"/>
                <w:sz w:val="24"/>
                <w:szCs w:val="21"/>
              </w:rPr>
              <w:t>2批</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省级自建少年宫数量</w:t>
            </w:r>
          </w:p>
        </w:tc>
        <w:tc>
          <w:tcPr>
            <w:tcW w:w="1140" w:type="dxa"/>
            <w:vAlign w:val="center"/>
          </w:tcPr>
          <w:p>
            <w:pPr>
              <w:spacing w:line="240" w:lineRule="auto"/>
              <w:ind w:firstLine="0" w:firstLineChars="0"/>
              <w:jc w:val="center"/>
              <w:rPr>
                <w:sz w:val="24"/>
                <w:szCs w:val="21"/>
              </w:rPr>
            </w:pPr>
            <w:r>
              <w:rPr>
                <w:rFonts w:hint="eastAsia"/>
                <w:sz w:val="24"/>
                <w:szCs w:val="21"/>
              </w:rPr>
              <w:t>≥10所</w:t>
            </w:r>
          </w:p>
        </w:tc>
        <w:tc>
          <w:tcPr>
            <w:tcW w:w="994" w:type="dxa"/>
            <w:vAlign w:val="center"/>
          </w:tcPr>
          <w:p>
            <w:pPr>
              <w:spacing w:line="240" w:lineRule="auto"/>
              <w:ind w:firstLine="0" w:firstLineChars="0"/>
              <w:jc w:val="center"/>
              <w:rPr>
                <w:sz w:val="24"/>
                <w:szCs w:val="21"/>
              </w:rPr>
            </w:pPr>
            <w:r>
              <w:rPr>
                <w:rFonts w:hint="eastAsia"/>
                <w:sz w:val="24"/>
                <w:szCs w:val="21"/>
              </w:rPr>
              <w:t>10所</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省级已建成少年宫运转补助数量</w:t>
            </w:r>
          </w:p>
        </w:tc>
        <w:tc>
          <w:tcPr>
            <w:tcW w:w="1140" w:type="dxa"/>
            <w:vAlign w:val="center"/>
          </w:tcPr>
          <w:p>
            <w:pPr>
              <w:spacing w:line="240" w:lineRule="auto"/>
              <w:ind w:firstLine="0" w:firstLineChars="0"/>
              <w:jc w:val="center"/>
              <w:rPr>
                <w:sz w:val="24"/>
                <w:szCs w:val="21"/>
              </w:rPr>
            </w:pPr>
            <w:r>
              <w:rPr>
                <w:rFonts w:hint="eastAsia"/>
                <w:sz w:val="24"/>
                <w:szCs w:val="21"/>
              </w:rPr>
              <w:t>≥45所</w:t>
            </w:r>
          </w:p>
        </w:tc>
        <w:tc>
          <w:tcPr>
            <w:tcW w:w="994" w:type="dxa"/>
            <w:vAlign w:val="center"/>
          </w:tcPr>
          <w:p>
            <w:pPr>
              <w:spacing w:line="240" w:lineRule="auto"/>
              <w:ind w:firstLine="0" w:firstLineChars="0"/>
              <w:jc w:val="center"/>
              <w:rPr>
                <w:sz w:val="24"/>
                <w:szCs w:val="21"/>
              </w:rPr>
            </w:pPr>
            <w:r>
              <w:rPr>
                <w:rFonts w:hint="eastAsia"/>
                <w:sz w:val="24"/>
                <w:szCs w:val="21"/>
              </w:rPr>
              <w:t>45所</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组织实施重大主题宣讲活动</w:t>
            </w:r>
          </w:p>
        </w:tc>
        <w:tc>
          <w:tcPr>
            <w:tcW w:w="1140" w:type="dxa"/>
            <w:vAlign w:val="center"/>
          </w:tcPr>
          <w:p>
            <w:pPr>
              <w:spacing w:line="240" w:lineRule="auto"/>
              <w:ind w:firstLine="0" w:firstLineChars="0"/>
              <w:jc w:val="center"/>
              <w:rPr>
                <w:sz w:val="24"/>
                <w:szCs w:val="21"/>
              </w:rPr>
            </w:pPr>
            <w:r>
              <w:rPr>
                <w:rFonts w:hint="eastAsia"/>
                <w:sz w:val="24"/>
                <w:szCs w:val="21"/>
              </w:rPr>
              <w:t>≥32场</w:t>
            </w:r>
          </w:p>
        </w:tc>
        <w:tc>
          <w:tcPr>
            <w:tcW w:w="994" w:type="dxa"/>
            <w:vAlign w:val="center"/>
          </w:tcPr>
          <w:p>
            <w:pPr>
              <w:spacing w:line="240" w:lineRule="auto"/>
              <w:ind w:firstLine="0" w:firstLineChars="0"/>
              <w:jc w:val="center"/>
              <w:rPr>
                <w:sz w:val="24"/>
                <w:szCs w:val="21"/>
              </w:rPr>
            </w:pPr>
            <w:r>
              <w:rPr>
                <w:rFonts w:hint="eastAsia"/>
                <w:sz w:val="24"/>
                <w:szCs w:val="21"/>
              </w:rPr>
              <w:t>41场</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组织实施基层理论宣讲活动</w:t>
            </w:r>
          </w:p>
        </w:tc>
        <w:tc>
          <w:tcPr>
            <w:tcW w:w="1140" w:type="dxa"/>
            <w:vAlign w:val="center"/>
          </w:tcPr>
          <w:p>
            <w:pPr>
              <w:spacing w:line="240" w:lineRule="auto"/>
              <w:ind w:firstLine="0" w:firstLineChars="0"/>
              <w:jc w:val="center"/>
              <w:rPr>
                <w:sz w:val="24"/>
                <w:szCs w:val="21"/>
              </w:rPr>
            </w:pPr>
            <w:r>
              <w:rPr>
                <w:rFonts w:hint="eastAsia"/>
                <w:sz w:val="24"/>
                <w:szCs w:val="21"/>
              </w:rPr>
              <w:t>≥300场</w:t>
            </w:r>
          </w:p>
        </w:tc>
        <w:tc>
          <w:tcPr>
            <w:tcW w:w="994" w:type="dxa"/>
            <w:vAlign w:val="center"/>
          </w:tcPr>
          <w:p>
            <w:pPr>
              <w:spacing w:line="240" w:lineRule="auto"/>
              <w:ind w:firstLine="0" w:firstLineChars="0"/>
              <w:jc w:val="center"/>
              <w:rPr>
                <w:sz w:val="24"/>
                <w:szCs w:val="21"/>
              </w:rPr>
            </w:pPr>
            <w:r>
              <w:rPr>
                <w:rFonts w:hint="eastAsia"/>
                <w:sz w:val="24"/>
                <w:szCs w:val="21"/>
              </w:rPr>
              <w:t>383场</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编印学习辅导材料</w:t>
            </w:r>
          </w:p>
        </w:tc>
        <w:tc>
          <w:tcPr>
            <w:tcW w:w="1140" w:type="dxa"/>
            <w:vAlign w:val="center"/>
          </w:tcPr>
          <w:p>
            <w:pPr>
              <w:spacing w:line="240" w:lineRule="auto"/>
              <w:ind w:firstLine="0" w:firstLineChars="0"/>
              <w:jc w:val="center"/>
              <w:rPr>
                <w:sz w:val="24"/>
                <w:szCs w:val="21"/>
              </w:rPr>
            </w:pPr>
            <w:r>
              <w:rPr>
                <w:rFonts w:hint="eastAsia"/>
                <w:sz w:val="24"/>
                <w:szCs w:val="21"/>
              </w:rPr>
              <w:t>≥1万册</w:t>
            </w:r>
          </w:p>
        </w:tc>
        <w:tc>
          <w:tcPr>
            <w:tcW w:w="994" w:type="dxa"/>
            <w:vAlign w:val="center"/>
          </w:tcPr>
          <w:p>
            <w:pPr>
              <w:spacing w:line="240" w:lineRule="auto"/>
              <w:ind w:firstLine="0" w:firstLineChars="0"/>
              <w:jc w:val="center"/>
              <w:rPr>
                <w:sz w:val="24"/>
                <w:szCs w:val="21"/>
              </w:rPr>
            </w:pPr>
            <w:r>
              <w:rPr>
                <w:rFonts w:hint="eastAsia"/>
                <w:sz w:val="24"/>
                <w:szCs w:val="21"/>
              </w:rPr>
              <w:t>0.5万册</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0.5</w:t>
            </w:r>
          </w:p>
        </w:tc>
        <w:tc>
          <w:tcPr>
            <w:tcW w:w="992" w:type="dxa"/>
            <w:vAlign w:val="center"/>
          </w:tcPr>
          <w:p>
            <w:pPr>
              <w:spacing w:line="240" w:lineRule="auto"/>
              <w:ind w:firstLine="0" w:firstLineChars="0"/>
              <w:jc w:val="center"/>
              <w:rPr>
                <w:sz w:val="24"/>
                <w:szCs w:val="21"/>
              </w:rPr>
            </w:pPr>
            <w:r>
              <w:rPr>
                <w:rFonts w:hint="eastAsia"/>
                <w:sz w:val="24"/>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推动党员干部在职理论学习教育人次</w:t>
            </w:r>
          </w:p>
        </w:tc>
        <w:tc>
          <w:tcPr>
            <w:tcW w:w="1140" w:type="dxa"/>
            <w:vAlign w:val="center"/>
          </w:tcPr>
          <w:p>
            <w:pPr>
              <w:spacing w:line="240" w:lineRule="auto"/>
              <w:ind w:firstLine="0" w:firstLineChars="0"/>
              <w:jc w:val="center"/>
              <w:rPr>
                <w:sz w:val="24"/>
                <w:szCs w:val="21"/>
              </w:rPr>
            </w:pPr>
            <w:r>
              <w:rPr>
                <w:rFonts w:hint="eastAsia"/>
                <w:sz w:val="24"/>
                <w:szCs w:val="21"/>
              </w:rPr>
              <w:t>≥350万人（次）</w:t>
            </w:r>
          </w:p>
        </w:tc>
        <w:tc>
          <w:tcPr>
            <w:tcW w:w="994" w:type="dxa"/>
            <w:vAlign w:val="center"/>
          </w:tcPr>
          <w:p>
            <w:pPr>
              <w:spacing w:line="240" w:lineRule="auto"/>
              <w:ind w:firstLine="0" w:firstLineChars="0"/>
              <w:jc w:val="center"/>
              <w:rPr>
                <w:sz w:val="24"/>
                <w:szCs w:val="21"/>
              </w:rPr>
            </w:pPr>
            <w:r>
              <w:rPr>
                <w:rFonts w:hint="eastAsia"/>
                <w:sz w:val="24"/>
                <w:szCs w:val="21"/>
              </w:rPr>
              <w:t>440万人</w:t>
            </w:r>
          </w:p>
        </w:tc>
        <w:tc>
          <w:tcPr>
            <w:tcW w:w="750" w:type="dxa"/>
            <w:vAlign w:val="center"/>
          </w:tcPr>
          <w:p>
            <w:pPr>
              <w:spacing w:line="240" w:lineRule="auto"/>
              <w:ind w:firstLine="0" w:firstLineChars="0"/>
              <w:jc w:val="center"/>
              <w:rPr>
                <w:sz w:val="24"/>
                <w:szCs w:val="21"/>
              </w:rPr>
            </w:pPr>
            <w:r>
              <w:rPr>
                <w:rFonts w:hint="eastAsia"/>
                <w:sz w:val="24"/>
                <w:szCs w:val="21"/>
              </w:rPr>
              <w:t>2</w:t>
            </w:r>
          </w:p>
        </w:tc>
        <w:tc>
          <w:tcPr>
            <w:tcW w:w="752"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《党的建设》产出量指标</w:t>
            </w:r>
          </w:p>
        </w:tc>
        <w:tc>
          <w:tcPr>
            <w:tcW w:w="1140" w:type="dxa"/>
            <w:vAlign w:val="center"/>
          </w:tcPr>
          <w:p>
            <w:pPr>
              <w:spacing w:line="240" w:lineRule="auto"/>
              <w:ind w:firstLine="0" w:firstLineChars="0"/>
              <w:jc w:val="center"/>
              <w:rPr>
                <w:sz w:val="24"/>
                <w:szCs w:val="21"/>
              </w:rPr>
            </w:pPr>
            <w:r>
              <w:rPr>
                <w:rFonts w:hint="eastAsia"/>
                <w:sz w:val="24"/>
                <w:szCs w:val="21"/>
              </w:rPr>
              <w:t>≥393.60万册</w:t>
            </w:r>
          </w:p>
        </w:tc>
        <w:tc>
          <w:tcPr>
            <w:tcW w:w="994" w:type="dxa"/>
            <w:vAlign w:val="center"/>
          </w:tcPr>
          <w:p>
            <w:pPr>
              <w:spacing w:line="240" w:lineRule="auto"/>
              <w:ind w:firstLine="0" w:firstLineChars="0"/>
              <w:jc w:val="center"/>
              <w:rPr>
                <w:sz w:val="24"/>
                <w:szCs w:val="21"/>
              </w:rPr>
            </w:pPr>
            <w:r>
              <w:rPr>
                <w:rFonts w:hint="eastAsia"/>
                <w:sz w:val="24"/>
                <w:szCs w:val="21"/>
              </w:rPr>
              <w:t>393万册</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94"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党建杂志验收合格率</w:t>
            </w:r>
          </w:p>
        </w:tc>
        <w:tc>
          <w:tcPr>
            <w:tcW w:w="1140" w:type="dxa"/>
            <w:vAlign w:val="center"/>
          </w:tcPr>
          <w:p>
            <w:pPr>
              <w:spacing w:line="240" w:lineRule="auto"/>
              <w:ind w:firstLine="0" w:firstLineChars="0"/>
              <w:jc w:val="center"/>
              <w:rPr>
                <w:sz w:val="24"/>
                <w:szCs w:val="21"/>
              </w:rPr>
            </w:pPr>
            <w:r>
              <w:rPr>
                <w:rFonts w:hint="eastAsia"/>
                <w:sz w:val="24"/>
                <w:szCs w:val="21"/>
              </w:rPr>
              <w:t>≥95%</w:t>
            </w:r>
          </w:p>
        </w:tc>
        <w:tc>
          <w:tcPr>
            <w:tcW w:w="994" w:type="dxa"/>
            <w:vAlign w:val="center"/>
          </w:tcPr>
          <w:p>
            <w:pPr>
              <w:spacing w:line="240" w:lineRule="auto"/>
              <w:ind w:firstLine="0" w:firstLineChars="0"/>
              <w:jc w:val="center"/>
              <w:rPr>
                <w:sz w:val="24"/>
                <w:szCs w:val="21"/>
              </w:rPr>
            </w:pPr>
            <w:r>
              <w:rPr>
                <w:rFonts w:hint="eastAsia"/>
                <w:sz w:val="24"/>
                <w:szCs w:val="21"/>
              </w:rPr>
              <w:t>100%</w:t>
            </w:r>
          </w:p>
        </w:tc>
        <w:tc>
          <w:tcPr>
            <w:tcW w:w="750" w:type="dxa"/>
            <w:vAlign w:val="center"/>
          </w:tcPr>
          <w:p>
            <w:pPr>
              <w:spacing w:line="240" w:lineRule="auto"/>
              <w:ind w:firstLine="0" w:firstLineChars="0"/>
              <w:jc w:val="center"/>
              <w:rPr>
                <w:sz w:val="24"/>
                <w:szCs w:val="21"/>
              </w:rPr>
            </w:pPr>
            <w:r>
              <w:rPr>
                <w:rFonts w:hint="eastAsia"/>
                <w:sz w:val="24"/>
                <w:szCs w:val="21"/>
              </w:rPr>
              <w:t>1</w:t>
            </w:r>
          </w:p>
        </w:tc>
        <w:tc>
          <w:tcPr>
            <w:tcW w:w="752" w:type="dxa"/>
            <w:vAlign w:val="center"/>
          </w:tcPr>
          <w:p>
            <w:pPr>
              <w:spacing w:line="240" w:lineRule="auto"/>
              <w:ind w:firstLine="0" w:firstLineChars="0"/>
              <w:jc w:val="center"/>
              <w:rPr>
                <w:sz w:val="24"/>
                <w:szCs w:val="21"/>
              </w:rPr>
            </w:pPr>
            <w:r>
              <w:rPr>
                <w:rFonts w:hint="eastAsia"/>
                <w:sz w:val="24"/>
                <w:szCs w:val="21"/>
              </w:rPr>
              <w:t>1</w:t>
            </w:r>
          </w:p>
        </w:tc>
        <w:tc>
          <w:tcPr>
            <w:tcW w:w="992" w:type="dxa"/>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8" w:type="dxa"/>
            <w:gridSpan w:val="3"/>
            <w:vAlign w:val="center"/>
          </w:tcPr>
          <w:p>
            <w:pPr>
              <w:spacing w:line="240" w:lineRule="auto"/>
              <w:ind w:firstLine="0" w:firstLineChars="0"/>
              <w:jc w:val="center"/>
              <w:rPr>
                <w:rFonts w:cs="仿宋_GB2312"/>
                <w:b/>
                <w:bCs/>
                <w:color w:val="333333"/>
                <w:sz w:val="24"/>
                <w:szCs w:val="24"/>
              </w:rPr>
            </w:pPr>
            <w:r>
              <w:rPr>
                <w:rFonts w:hint="eastAsia" w:cs="仿宋_GB2312"/>
                <w:b/>
                <w:bCs/>
                <w:color w:val="333333"/>
                <w:sz w:val="24"/>
                <w:szCs w:val="24"/>
              </w:rPr>
              <w:t>合计</w:t>
            </w:r>
          </w:p>
        </w:tc>
        <w:tc>
          <w:tcPr>
            <w:tcW w:w="750" w:type="dxa"/>
            <w:vAlign w:val="center"/>
          </w:tcPr>
          <w:p>
            <w:pPr>
              <w:spacing w:line="240" w:lineRule="auto"/>
              <w:ind w:firstLine="0" w:firstLineChars="0"/>
              <w:jc w:val="center"/>
              <w:rPr>
                <w:b/>
                <w:bCs/>
                <w:sz w:val="24"/>
                <w:szCs w:val="24"/>
              </w:rPr>
            </w:pPr>
            <w:r>
              <w:rPr>
                <w:rFonts w:hint="eastAsia"/>
                <w:b/>
                <w:bCs/>
                <w:sz w:val="24"/>
                <w:szCs w:val="24"/>
              </w:rPr>
              <w:t>33</w:t>
            </w:r>
          </w:p>
        </w:tc>
        <w:tc>
          <w:tcPr>
            <w:tcW w:w="752" w:type="dxa"/>
            <w:vAlign w:val="center"/>
          </w:tcPr>
          <w:p>
            <w:pPr>
              <w:spacing w:line="240" w:lineRule="auto"/>
              <w:ind w:firstLine="0" w:firstLineChars="0"/>
              <w:jc w:val="center"/>
              <w:rPr>
                <w:b/>
                <w:bCs/>
                <w:sz w:val="24"/>
                <w:szCs w:val="24"/>
              </w:rPr>
            </w:pPr>
            <w:r>
              <w:rPr>
                <w:rFonts w:hint="eastAsia"/>
                <w:b/>
                <w:bCs/>
                <w:sz w:val="24"/>
                <w:szCs w:val="24"/>
              </w:rPr>
              <w:t>31.5</w:t>
            </w:r>
          </w:p>
        </w:tc>
        <w:tc>
          <w:tcPr>
            <w:tcW w:w="992" w:type="dxa"/>
            <w:vAlign w:val="center"/>
          </w:tcPr>
          <w:p>
            <w:pPr>
              <w:spacing w:line="240" w:lineRule="auto"/>
              <w:ind w:firstLine="0" w:firstLineChars="0"/>
              <w:jc w:val="center"/>
              <w:rPr>
                <w:b/>
                <w:bCs/>
                <w:sz w:val="24"/>
                <w:szCs w:val="21"/>
              </w:rPr>
            </w:pPr>
            <w:r>
              <w:rPr>
                <w:rFonts w:hint="eastAsia"/>
                <w:b/>
                <w:bCs/>
                <w:sz w:val="24"/>
                <w:szCs w:val="21"/>
              </w:rPr>
              <w:t>95.45%</w:t>
            </w:r>
          </w:p>
        </w:tc>
      </w:tr>
    </w:tbl>
    <w:p>
      <w:pPr>
        <w:keepNext w:val="0"/>
        <w:keepLines w:val="0"/>
        <w:pageBreakBefore w:val="0"/>
        <w:widowControl w:val="0"/>
        <w:kinsoku/>
        <w:wordWrap/>
        <w:topLinePunct w:val="0"/>
        <w:autoSpaceDE/>
        <w:autoSpaceDN/>
        <w:bidi w:val="0"/>
        <w:adjustRightInd/>
        <w:snapToGrid/>
        <w:ind w:firstLine="562"/>
        <w:textAlignment w:val="auto"/>
        <w:rPr>
          <w:rFonts w:cs="仿宋_GB2312"/>
          <w:szCs w:val="28"/>
        </w:rPr>
      </w:pPr>
      <w:r>
        <w:rPr>
          <w:rFonts w:hint="eastAsia" w:hAnsi="宋体"/>
          <w:b/>
          <w:bCs/>
          <w:szCs w:val="28"/>
        </w:rPr>
        <w:t>项目验收合格率：</w:t>
      </w:r>
      <w:r>
        <w:rPr>
          <w:rFonts w:hint="eastAsia" w:hAnsi="宋体"/>
          <w:szCs w:val="28"/>
        </w:rPr>
        <w:t>2021年度</w:t>
      </w:r>
      <w:r>
        <w:rPr>
          <w:rFonts w:hint="eastAsia"/>
        </w:rPr>
        <w:t>我部全年支持文化项目20个、资助2864万元，国家支持甘肃电影产业发展1350万元；完成基层文艺惠民、公益电影放映等宣传文化领域10类55件为民实事项目，不断增强群众的获得感、幸福感；强化人才培养扶持，资助13个人才项目65万元；</w:t>
      </w:r>
      <w:r>
        <w:rPr>
          <w:rFonts w:hint="eastAsia" w:cs="仿宋_GB2312"/>
          <w:szCs w:val="28"/>
        </w:rPr>
        <w:t>完成2018年度高层次人才资助项目结项，取得项目成果50件。全年已完结项目验收合格率均为100%，达到了预期目标值。指标分值2分，按评分标准得2分，得分率100%。</w:t>
      </w:r>
    </w:p>
    <w:p>
      <w:pPr>
        <w:keepNext w:val="0"/>
        <w:keepLines w:val="0"/>
        <w:pageBreakBefore w:val="0"/>
        <w:widowControl w:val="0"/>
        <w:kinsoku/>
        <w:wordWrap/>
        <w:topLinePunct w:val="0"/>
        <w:autoSpaceDE/>
        <w:autoSpaceDN/>
        <w:bidi w:val="0"/>
        <w:adjustRightInd/>
        <w:snapToGrid/>
        <w:ind w:firstLine="562"/>
        <w:textAlignment w:val="auto"/>
      </w:pPr>
      <w:r>
        <w:rPr>
          <w:rFonts w:hint="eastAsia" w:hAnsi="宋体"/>
          <w:b/>
          <w:bCs/>
          <w:szCs w:val="28"/>
        </w:rPr>
        <w:t>资金到位率：</w:t>
      </w:r>
      <w:r>
        <w:rPr>
          <w:rFonts w:hint="eastAsia" w:cs="仿宋_GB2312"/>
          <w:szCs w:val="28"/>
        </w:rPr>
        <w:t>2021年我部各项资金到位及时</w:t>
      </w:r>
      <w:r>
        <w:rPr>
          <w:rFonts w:hint="eastAsia"/>
        </w:rPr>
        <w:t>，保障了各项工作的顺利开展，资金到位率为100%，达到了预期目标值。指标分值1分，按评分标准得1分，得分率100%。</w:t>
      </w:r>
    </w:p>
    <w:p>
      <w:pPr>
        <w:keepNext w:val="0"/>
        <w:keepLines w:val="0"/>
        <w:pageBreakBefore w:val="0"/>
        <w:widowControl w:val="0"/>
        <w:kinsoku/>
        <w:wordWrap/>
        <w:topLinePunct w:val="0"/>
        <w:autoSpaceDE/>
        <w:autoSpaceDN/>
        <w:bidi w:val="0"/>
        <w:adjustRightInd/>
        <w:snapToGrid/>
        <w:ind w:firstLine="562"/>
        <w:textAlignment w:val="auto"/>
      </w:pPr>
      <w:r>
        <w:rPr>
          <w:rFonts w:hint="eastAsia" w:cs="仿宋_GB2312"/>
          <w:b/>
          <w:bCs/>
          <w:color w:val="333333"/>
          <w:szCs w:val="28"/>
        </w:rPr>
        <w:t>新闻宣传受众普及率：</w:t>
      </w:r>
      <w:r>
        <w:rPr>
          <w:rFonts w:hint="eastAsia"/>
        </w:rPr>
        <w:t>2021年我部积极组织各项新闻宣传工作，宣传工作及时到位，社会反映良好，新闻宣传受众普及率为90%，达到了预期目标值。指标分值1分，按评分标准得1分，得分率100%。</w:t>
      </w:r>
    </w:p>
    <w:p>
      <w:pPr>
        <w:keepNext w:val="0"/>
        <w:keepLines w:val="0"/>
        <w:pageBreakBefore w:val="0"/>
        <w:widowControl w:val="0"/>
        <w:kinsoku/>
        <w:wordWrap/>
        <w:topLinePunct w:val="0"/>
        <w:autoSpaceDE/>
        <w:autoSpaceDN/>
        <w:bidi w:val="0"/>
        <w:adjustRightInd/>
        <w:snapToGrid/>
        <w:ind w:firstLine="562"/>
        <w:textAlignment w:val="auto"/>
      </w:pPr>
      <w:r>
        <w:rPr>
          <w:rFonts w:hint="eastAsia" w:cs="仿宋_GB2312"/>
          <w:b/>
          <w:bCs/>
          <w:color w:val="333333"/>
          <w:szCs w:val="28"/>
        </w:rPr>
        <w:t>社科研究社会影响度：</w:t>
      </w:r>
      <w:r>
        <w:rPr>
          <w:rFonts w:hint="eastAsia" w:cs="仿宋_GB2312"/>
          <w:color w:val="333333"/>
          <w:szCs w:val="28"/>
        </w:rPr>
        <w:t>2021年我部组织全省社科理论界专家学者围绕“积极融入一带一路建设”“碳达峰碳中和问题”“学习贯彻党的十九届六中全会精神”等重大主题开展理论研究，形成高质量决策咨询报告，择优编印了《咨政建言》，并呈送省委常委、省政协主席、省政府副省长及省直有关部门领导同志参阅。其中，省委党校宋圭武教授撰写的《本轮疫情在甘肃爆发风险分析及若干防控建议》等5篇文章，获得了省委主要领导同志的肯定性批示。社科研究社会影响度较高，达到了预期目标值。</w:t>
      </w:r>
      <w:r>
        <w:rPr>
          <w:rFonts w:hint="eastAsia"/>
        </w:rPr>
        <w:t>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推动文化产业发展：</w:t>
      </w:r>
      <w:r>
        <w:rPr>
          <w:rFonts w:hint="eastAsia" w:cs="仿宋_GB2312"/>
          <w:color w:val="333333"/>
          <w:szCs w:val="28"/>
        </w:rPr>
        <w:t>2021年我部持续推进华夏文明传承创新区建设，印发“十四五”规划，推动文物保护和非物质文化遗产保护传承等各项建设任务落实落地。推进国家文化公园建设，我省长城、长征国家文化公园规划获国家批复，争取项目8个，中央财政支持2.2亿元；推动省属国有文化企业加快发展，读者出版集团获“全国文化企业30强”提名。全年支持文化项目20个、资助2864万元，国家支持甘肃电影产业发展1350万元，文化产业在文化强省建设中的地位作用进一步凸显，有效推动了文化产业的持续发展。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繁荣甘肃省文化事业：</w:t>
      </w:r>
      <w:r>
        <w:rPr>
          <w:rFonts w:hint="eastAsia" w:cs="仿宋_GB2312"/>
          <w:color w:val="333333"/>
          <w:szCs w:val="28"/>
        </w:rPr>
        <w:t>2021年我部加快文化强省建设，努力推动全省文化事业产业发展，强化公共文化服务供给，不断丰富基层群众文化生活；深化文化体制改革，确保了文化事业产业的蓬勃发展。指标分值2分，按评分标准得2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减少有害出版物传播：</w:t>
      </w:r>
      <w:r>
        <w:rPr>
          <w:rFonts w:hint="eastAsia" w:cs="仿宋_GB2312"/>
          <w:color w:val="333333"/>
          <w:szCs w:val="28"/>
        </w:rPr>
        <w:t>2021年我部加强涉网、涉高校、涉民族宗教等重点领域风险防控，实施“安全播出”工程，开展图书、报纸、期刊等出版物审读，减少了有害出版物的传播，净化了文化市场。指标分值2分，按评分标准得2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提升群众文化素养水平：</w:t>
      </w:r>
      <w:r>
        <w:rPr>
          <w:rFonts w:hint="eastAsia" w:cs="仿宋_GB2312"/>
          <w:color w:val="333333"/>
          <w:szCs w:val="28"/>
        </w:rPr>
        <w:t>2021年我部积极组织开展全省“三下乡”、省级政府购买公益性演出、文化进万家和“春绿陇原”文艺展演展播活动，全省农村电影公益放映19.6万场，推进“书香陇原”建设行动，完成全省农家书屋出版物补充更新，不断丰富基层群众文化生活，群众文化素养水平得到进一步提升。指标分值2分，按评分标准得2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资金覆盖率：</w:t>
      </w:r>
      <w:r>
        <w:rPr>
          <w:rFonts w:hint="eastAsia" w:cs="仿宋_GB2312"/>
          <w:color w:val="333333"/>
          <w:szCs w:val="28"/>
        </w:rPr>
        <w:t>2021年我部对事关全局的理论武装、舆论引导、意识形态工作责任制落实、宣传文化项目实施、选人用人等重大事项和工作安排了专项资金，确保了我部年度工作任务高质量完成，资金覆盖率为100%，达到了预期目标值。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重点工作会议开展场次：</w:t>
      </w:r>
      <w:r>
        <w:rPr>
          <w:rFonts w:hint="eastAsia" w:cs="仿宋_GB2312"/>
          <w:color w:val="333333"/>
          <w:szCs w:val="28"/>
        </w:rPr>
        <w:t>2021年我部重点工作会议开展</w:t>
      </w:r>
      <w:r>
        <w:rPr>
          <w:rFonts w:hint="eastAsia" w:cs="仿宋_GB2312"/>
          <w:color w:val="333333"/>
          <w:szCs w:val="28"/>
          <w:lang w:val="en-US" w:eastAsia="zh-CN"/>
        </w:rPr>
        <w:t>17</w:t>
      </w:r>
      <w:r>
        <w:rPr>
          <w:rFonts w:hint="eastAsia" w:cs="仿宋_GB2312"/>
          <w:color w:val="333333"/>
          <w:szCs w:val="28"/>
        </w:rPr>
        <w:t>场，充分听取班子成员意见建议，广泛征求各方面和专家学者意见，驻部纪检监察组负责人全程列席，部法务人员</w:t>
      </w:r>
      <w:r>
        <w:rPr>
          <w:rFonts w:hint="eastAsia" w:cs="仿宋_GB2312"/>
          <w:color w:val="333333"/>
          <w:szCs w:val="28"/>
          <w:lang w:eastAsia="zh-CN"/>
        </w:rPr>
        <w:t>和财务人员</w:t>
      </w:r>
      <w:r>
        <w:rPr>
          <w:rFonts w:hint="eastAsia" w:cs="仿宋_GB2312"/>
          <w:color w:val="333333"/>
          <w:szCs w:val="28"/>
        </w:rPr>
        <w:t>列席相关议题，做到民主决策、科学决策、依法依规决策</w:t>
      </w:r>
      <w:r>
        <w:rPr>
          <w:rFonts w:hint="eastAsia" w:cs="仿宋_GB2312"/>
          <w:color w:val="333333"/>
          <w:szCs w:val="28"/>
          <w:lang w:eastAsia="zh-CN"/>
        </w:rPr>
        <w:t>，</w:t>
      </w:r>
      <w:r>
        <w:rPr>
          <w:rFonts w:hint="eastAsia" w:cs="仿宋_GB2312"/>
          <w:color w:val="333333"/>
          <w:szCs w:val="28"/>
        </w:rPr>
        <w:t>重点工作会议开展场次达到了预期目标值</w:t>
      </w:r>
      <w:r>
        <w:rPr>
          <w:rFonts w:hint="eastAsia" w:cs="仿宋_GB2312"/>
          <w:color w:val="333333"/>
          <w:szCs w:val="28"/>
          <w:lang w:eastAsia="zh-CN"/>
        </w:rPr>
        <w:t>。</w:t>
      </w:r>
      <w:r>
        <w:rPr>
          <w:rFonts w:hint="eastAsia" w:cs="仿宋_GB2312"/>
          <w:color w:val="333333"/>
          <w:szCs w:val="28"/>
        </w:rPr>
        <w:t>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重点工作培训场次：</w:t>
      </w:r>
      <w:r>
        <w:rPr>
          <w:rFonts w:hint="eastAsia" w:cs="仿宋_GB2312"/>
          <w:color w:val="333333"/>
          <w:szCs w:val="28"/>
        </w:rPr>
        <w:t>2021年我部针对重点工作开展培训2</w:t>
      </w:r>
      <w:r>
        <w:rPr>
          <w:rFonts w:hint="eastAsia" w:cs="仿宋_GB2312"/>
          <w:color w:val="333333"/>
          <w:szCs w:val="28"/>
          <w:lang w:val="en-US" w:eastAsia="zh-CN"/>
        </w:rPr>
        <w:t>0</w:t>
      </w:r>
      <w:r>
        <w:rPr>
          <w:rFonts w:hint="eastAsia" w:cs="仿宋_GB2312"/>
          <w:color w:val="333333"/>
          <w:szCs w:val="28"/>
        </w:rPr>
        <w:t>次，达到了预期目标值。其中举办省级意识形态工作、舆情应对处置工作培训班，推动了市、县两级和省直部门、高校、国有企业基本实现培训全覆盖。指标分值1分，按评分标准得1分，得分率100%。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重点工作活动开展场次：</w:t>
      </w:r>
      <w:r>
        <w:rPr>
          <w:rFonts w:hint="eastAsia" w:cs="仿宋_GB2312"/>
          <w:color w:val="333333"/>
          <w:szCs w:val="28"/>
        </w:rPr>
        <w:t>2021年我部</w:t>
      </w:r>
      <w:r>
        <w:rPr>
          <w:rFonts w:hint="eastAsia" w:cs="仿宋_GB2312"/>
          <w:color w:val="333333"/>
          <w:szCs w:val="28"/>
          <w:lang w:eastAsia="zh-CN"/>
        </w:rPr>
        <w:t>组织开展</w:t>
      </w:r>
      <w:r>
        <w:rPr>
          <w:rFonts w:hint="eastAsia" w:cs="仿宋_GB2312"/>
          <w:color w:val="333333"/>
          <w:szCs w:val="28"/>
        </w:rPr>
        <w:t>重点</w:t>
      </w:r>
      <w:r>
        <w:rPr>
          <w:rFonts w:hint="eastAsia" w:cs="仿宋_GB2312"/>
          <w:color w:val="333333"/>
          <w:szCs w:val="28"/>
          <w:lang w:eastAsia="zh-CN"/>
        </w:rPr>
        <w:t>工作活动</w:t>
      </w:r>
      <w:r>
        <w:rPr>
          <w:rFonts w:hint="eastAsia" w:cs="仿宋_GB2312"/>
          <w:color w:val="333333"/>
          <w:szCs w:val="28"/>
          <w:lang w:val="en-US" w:eastAsia="zh-CN"/>
        </w:rPr>
        <w:t>55</w:t>
      </w:r>
      <w:r>
        <w:rPr>
          <w:rFonts w:hint="eastAsia" w:cs="仿宋_GB2312"/>
          <w:color w:val="333333"/>
          <w:szCs w:val="28"/>
        </w:rPr>
        <w:t>次，达到了预期目标值。我部积极开展全国文明单位宣传活动、“红心向党”</w:t>
      </w:r>
      <w:r>
        <w:rPr>
          <w:rFonts w:hint="eastAsia" w:cs="仿宋_GB2312"/>
          <w:color w:val="333333"/>
          <w:szCs w:val="28"/>
          <w:lang w:eastAsia="zh-CN"/>
        </w:rPr>
        <w:t>、</w:t>
      </w:r>
      <w:r>
        <w:rPr>
          <w:rFonts w:hint="eastAsia" w:cs="仿宋_GB2312"/>
          <w:color w:val="333333"/>
          <w:szCs w:val="28"/>
        </w:rPr>
        <w:t>“我为群众办实事”等主题实践活动，推动了重点工作的有效实施。指标分值1分，按评分标准得1分，得分率100%。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专题调研次数：</w:t>
      </w:r>
      <w:r>
        <w:rPr>
          <w:rFonts w:hint="eastAsia" w:cs="仿宋_GB2312"/>
          <w:color w:val="333333"/>
          <w:szCs w:val="28"/>
        </w:rPr>
        <w:t>2021年</w:t>
      </w:r>
      <w:r>
        <w:rPr>
          <w:rFonts w:hint="eastAsia" w:cs="仿宋_GB2312"/>
          <w:color w:val="333333"/>
          <w:szCs w:val="28"/>
          <w:highlight w:val="none"/>
        </w:rPr>
        <w:t>我部</w:t>
      </w:r>
      <w:r>
        <w:rPr>
          <w:rFonts w:hint="eastAsia" w:cs="仿宋_GB2312"/>
          <w:color w:val="333333"/>
          <w:szCs w:val="28"/>
          <w:highlight w:val="none"/>
          <w:lang w:eastAsia="zh-CN"/>
        </w:rPr>
        <w:t>组织各处室积极开展专题调研工作</w:t>
      </w:r>
      <w:r>
        <w:rPr>
          <w:rFonts w:hint="eastAsia" w:cs="仿宋_GB2312"/>
          <w:color w:val="333333"/>
          <w:szCs w:val="28"/>
          <w:highlight w:val="none"/>
        </w:rPr>
        <w:t>，</w:t>
      </w:r>
      <w:r>
        <w:rPr>
          <w:rFonts w:hint="eastAsia" w:cs="仿宋_GB2312"/>
          <w:color w:val="333333"/>
          <w:szCs w:val="28"/>
          <w:highlight w:val="none"/>
          <w:lang w:eastAsia="zh-CN"/>
        </w:rPr>
        <w:t>全年累计完成</w:t>
      </w:r>
      <w:r>
        <w:rPr>
          <w:rFonts w:hint="eastAsia" w:cs="仿宋_GB2312"/>
          <w:color w:val="333333"/>
          <w:szCs w:val="28"/>
          <w:highlight w:val="none"/>
          <w:lang w:val="en-US" w:eastAsia="zh-CN"/>
        </w:rPr>
        <w:t>27次专题调研任务</w:t>
      </w:r>
      <w:r>
        <w:rPr>
          <w:rFonts w:hint="eastAsia" w:cs="仿宋_GB2312"/>
          <w:color w:val="333333"/>
          <w:szCs w:val="28"/>
          <w:highlight w:val="none"/>
        </w:rPr>
        <w:t>，达</w:t>
      </w:r>
      <w:r>
        <w:rPr>
          <w:rFonts w:hint="eastAsia" w:cs="仿宋_GB2312"/>
          <w:color w:val="333333"/>
          <w:szCs w:val="28"/>
        </w:rPr>
        <w:t>到了预期目标值。指标分值1分，按评分标准得1分，得分率100%。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公益广告宣传制作数量：</w:t>
      </w:r>
      <w:r>
        <w:rPr>
          <w:rFonts w:hint="eastAsia" w:cs="仿宋_GB2312"/>
          <w:color w:val="333333"/>
          <w:szCs w:val="28"/>
        </w:rPr>
        <w:t>2021年我部制作公益广告5部，推出“陇小飞学党史”宣传品，用党的奋斗历程和伟大成就鼓舞士气、坚定信念、汇聚力量。公益广告宣传制作数量达到了预期目标值，指标分值1分，按评分标准得1分，得分率100%。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甘肃精神文明建设杂志印制：</w:t>
      </w:r>
      <w:r>
        <w:rPr>
          <w:rFonts w:hint="eastAsia" w:cs="仿宋_GB2312"/>
          <w:color w:val="333333"/>
          <w:szCs w:val="28"/>
        </w:rPr>
        <w:t>2021年我部工作所需印制甘肃精神文明建设杂志13200册，集中宣传全省精神文明建设工作取得的新进展、新突破、新成就，极大提振了信心决心。甘肃精神文明建设杂志印制册数达到了预期目标值，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highlight w:val="yellow"/>
        </w:rPr>
      </w:pPr>
      <w:r>
        <w:rPr>
          <w:rFonts w:hint="eastAsia" w:cs="仿宋_GB2312"/>
          <w:b/>
          <w:bCs/>
          <w:color w:val="333333"/>
          <w:szCs w:val="28"/>
        </w:rPr>
        <w:t>《文明家庭风采》印制：</w:t>
      </w:r>
      <w:r>
        <w:rPr>
          <w:rFonts w:hint="eastAsia" w:cs="仿宋_GB2312"/>
          <w:color w:val="333333"/>
          <w:szCs w:val="28"/>
        </w:rPr>
        <w:t>2021年我部工作所需印制《文明家庭风采》500册，《文明家庭风采》用真心、爱心和奋斗之心，诠释着生活的本真，追寻着幸福之道，让很多人羡慕并向他们看齐。由于工作实际需求为500册，导致《文明家庭风采》印制册数未达到预期目标值，指标分值2分，按评分标准得1分，得分率50%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color w:val="333333"/>
          <w:szCs w:val="28"/>
        </w:rPr>
      </w:pPr>
      <w:r>
        <w:rPr>
          <w:rFonts w:hint="eastAsia" w:cs="仿宋_GB2312"/>
          <w:b/>
          <w:bCs/>
          <w:color w:val="333333"/>
          <w:szCs w:val="28"/>
        </w:rPr>
        <w:t>先进集体测评复查批次：</w:t>
      </w:r>
      <w:r>
        <w:rPr>
          <w:rFonts w:hint="eastAsia" w:cs="仿宋_GB2312"/>
          <w:color w:val="333333"/>
          <w:szCs w:val="28"/>
        </w:rPr>
        <w:t>2021年我部开展先进集体测评复查2批，通过测评复查，对于创建活动创新不够、停滞不前、特色不突出、出现突出问题的，要限期整改并提交整改报告，对于创建活动严重滑坡，出现重大问题的，将调查核实情况。先进集体测评复查批次达到预期目标值，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省级自建少年宫数量：</w:t>
      </w:r>
      <w:r>
        <w:rPr>
          <w:rFonts w:hint="eastAsia" w:cs="仿宋_GB2312"/>
          <w:color w:val="333333"/>
          <w:szCs w:val="28"/>
        </w:rPr>
        <w:t>2021年我部完成省级自建少年宫10所，达到了预期目标值。通过百花齐放式的少年宫建设，让每个孩子都能学有所乐、学有所长、学有所成。指标分值1分，按评分标准得1分，得分率100%。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省级已建成少年宫运转补助数量：</w:t>
      </w:r>
      <w:r>
        <w:rPr>
          <w:rFonts w:hint="eastAsia" w:cs="仿宋_GB2312"/>
          <w:color w:val="333333"/>
          <w:szCs w:val="28"/>
        </w:rPr>
        <w:t>2021年我部完成省级已建成少年宫运转补助45所，达到了预期目标值。通过专项补助，保障了省级已建成少年宫的正常运转。指标分值1分，按评分标准得1分，得分率100%。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组织实施重大主题宣讲活动：</w:t>
      </w:r>
      <w:r>
        <w:rPr>
          <w:rFonts w:hint="eastAsia" w:cs="仿宋_GB2312"/>
          <w:color w:val="333333"/>
          <w:szCs w:val="28"/>
        </w:rPr>
        <w:t>2021年我部组织实施重大主题宣讲活动41场，达到了预期目标值。我部领导班子全面履职尽责、坚持守正创新、主动担当作为、狠抓工作落实，努力在纷繁复杂的宣传思想工作中抓大事、抓重点、谋全局，推动全年各项工作任务落地见效。指标分值2分，按评分标准得2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组织实施基层理论宣讲活动：</w:t>
      </w:r>
      <w:r>
        <w:rPr>
          <w:rFonts w:hint="eastAsia" w:cs="仿宋_GB2312"/>
          <w:color w:val="333333"/>
          <w:szCs w:val="28"/>
        </w:rPr>
        <w:t>2021年我部组织实施基层理论宣讲活动383场，达到了预期目标值。通过宣讲活动不断丰富基层群众文化生活，提升了基层群众的理论水平。指标分值1分，按评分标准得1分，得分率100%。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编印学习辅导材料：</w:t>
      </w:r>
      <w:r>
        <w:rPr>
          <w:rFonts w:hint="eastAsia" w:cs="仿宋_GB2312"/>
          <w:color w:val="333333"/>
          <w:szCs w:val="28"/>
        </w:rPr>
        <w:t>2021年我部工作所需组织编印学习辅导材料</w:t>
      </w:r>
      <w:r>
        <w:rPr>
          <w:rFonts w:hint="eastAsia" w:cs="仿宋_GB2312"/>
          <w:color w:val="333333"/>
          <w:szCs w:val="28"/>
          <w:lang w:eastAsia="zh-CN"/>
        </w:rPr>
        <w:t>约</w:t>
      </w:r>
      <w:r>
        <w:rPr>
          <w:rFonts w:hint="eastAsia" w:cs="仿宋_GB2312"/>
          <w:color w:val="333333"/>
          <w:szCs w:val="28"/>
        </w:rPr>
        <w:t>0.5万册，导致编印学习辅导材料未达到预期目标值。指标分值1分，按评分标准得0.5分，得分率50%。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推动党员干部在职理论学习教育人次：</w:t>
      </w:r>
      <w:r>
        <w:rPr>
          <w:rFonts w:hint="eastAsia" w:cs="仿宋_GB2312"/>
          <w:color w:val="333333"/>
          <w:szCs w:val="28"/>
        </w:rPr>
        <w:t>2021年我部与省委组织部牵头组织开展全省党史学习教育，抓好自主学习、专题研讨、讲授党课、帮办实事等各项要求落实。推动党员干部在职理论学习教育440万人次，达到了预期目标值。指标分值2分，按评分标准得2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szCs w:val="28"/>
        </w:rPr>
      </w:pPr>
      <w:r>
        <w:rPr>
          <w:rFonts w:hint="eastAsia" w:cs="仿宋_GB2312"/>
          <w:b/>
          <w:bCs/>
          <w:color w:val="333333"/>
          <w:szCs w:val="28"/>
        </w:rPr>
        <w:t>《党的建设》产出量指标：</w:t>
      </w:r>
      <w:r>
        <w:rPr>
          <w:rFonts w:hint="eastAsia" w:cs="仿宋_GB2312"/>
          <w:color w:val="333333"/>
          <w:szCs w:val="28"/>
        </w:rPr>
        <w:t>2021年我部全年印刷《党的建设》393万册，覆盖到全省14个市州，86个地县，切实提高了全省广大党员干部群众的理论水平和形势政策水平。指标分值1分，按评分标准得1分，得分率100%。</w:t>
      </w:r>
    </w:p>
    <w:p>
      <w:pPr>
        <w:keepNext w:val="0"/>
        <w:keepLines w:val="0"/>
        <w:pageBreakBefore w:val="0"/>
        <w:widowControl w:val="0"/>
        <w:pBdr>
          <w:top w:val="none" w:color="000000" w:sz="0" w:space="0"/>
          <w:left w:val="none" w:color="000000" w:sz="0" w:space="0"/>
          <w:bottom w:val="none" w:color="000000" w:sz="0" w:space="11"/>
          <w:right w:val="none" w:color="000000" w:sz="0" w:space="0"/>
        </w:pBdr>
        <w:kinsoku/>
        <w:wordWrap/>
        <w:overflowPunct w:val="0"/>
        <w:topLinePunct w:val="0"/>
        <w:autoSpaceDE/>
        <w:autoSpaceDN/>
        <w:bidi w:val="0"/>
        <w:adjustRightInd/>
        <w:snapToGrid/>
        <w:ind w:firstLine="562"/>
        <w:jc w:val="left"/>
        <w:textAlignment w:val="auto"/>
        <w:rPr>
          <w:rFonts w:cs="仿宋_GB2312"/>
          <w:b/>
          <w:bCs/>
          <w:szCs w:val="28"/>
        </w:rPr>
      </w:pPr>
      <w:r>
        <w:rPr>
          <w:rFonts w:hint="eastAsia" w:cs="仿宋_GB2312"/>
          <w:b/>
          <w:bCs/>
          <w:szCs w:val="28"/>
        </w:rPr>
        <w:t>党建杂志验收合格率：</w:t>
      </w:r>
      <w:r>
        <w:rPr>
          <w:rFonts w:hint="eastAsia" w:cs="仿宋_GB2312"/>
          <w:color w:val="333333"/>
          <w:szCs w:val="28"/>
        </w:rPr>
        <w:t>2021年我部党建杂志验收合格率为100%，达到了预期目标值。指标分值1分，按评分标准得1分，得分率100%。</w:t>
      </w:r>
    </w:p>
    <w:p>
      <w:pPr>
        <w:pBdr>
          <w:top w:val="none" w:color="000000" w:sz="0" w:space="0"/>
          <w:left w:val="none" w:color="000000" w:sz="0" w:space="0"/>
          <w:bottom w:val="none" w:color="000000" w:sz="0" w:space="11"/>
          <w:right w:val="none" w:color="000000" w:sz="0" w:space="0"/>
        </w:pBdr>
        <w:overflowPunct w:val="0"/>
        <w:ind w:firstLine="560"/>
        <w:jc w:val="left"/>
        <w:rPr>
          <w:rFonts w:cs="仿宋_GB2312"/>
          <w:szCs w:val="28"/>
        </w:rPr>
      </w:pPr>
      <w:r>
        <w:rPr>
          <w:rFonts w:hint="eastAsia" w:cs="仿宋_GB2312"/>
          <w:b/>
          <w:bCs/>
          <w:szCs w:val="28"/>
        </w:rPr>
        <w:t>（2）部门效果目标</w:t>
      </w:r>
    </w:p>
    <w:p>
      <w:pPr>
        <w:pBdr>
          <w:top w:val="none" w:color="000000" w:sz="0" w:space="0"/>
          <w:left w:val="none" w:color="000000" w:sz="0" w:space="0"/>
          <w:bottom w:val="none" w:color="000000" w:sz="0" w:space="11"/>
          <w:right w:val="none" w:color="000000" w:sz="0" w:space="0"/>
        </w:pBdr>
        <w:overflowPunct w:val="0"/>
        <w:ind w:firstLine="560"/>
        <w:jc w:val="left"/>
        <w:rPr>
          <w:rFonts w:hint="eastAsia" w:hAnsi="宋体"/>
          <w:szCs w:val="28"/>
        </w:rPr>
      </w:pPr>
      <w:r>
        <w:rPr>
          <w:rFonts w:hint="eastAsia" w:hAnsi="宋体"/>
          <w:szCs w:val="28"/>
        </w:rPr>
        <w:t>部门效果目标根据部门重点工作任务的效果而设置，根据我部的工作职能，对部门履职情况产生的影响进行分析。部门效果目标下设7个三级指标，指标合计得分1</w:t>
      </w:r>
      <w:r>
        <w:rPr>
          <w:rFonts w:hAnsi="宋体"/>
          <w:szCs w:val="28"/>
        </w:rPr>
        <w:t>4</w:t>
      </w:r>
      <w:r>
        <w:rPr>
          <w:rFonts w:hint="eastAsia" w:hAnsi="宋体"/>
          <w:szCs w:val="28"/>
        </w:rPr>
        <w:t>分，自评得分1</w:t>
      </w:r>
      <w:r>
        <w:rPr>
          <w:rFonts w:hAnsi="宋体"/>
          <w:szCs w:val="28"/>
        </w:rPr>
        <w:t>4</w:t>
      </w:r>
      <w:r>
        <w:rPr>
          <w:rFonts w:hint="eastAsia" w:hAnsi="宋体"/>
          <w:szCs w:val="28"/>
        </w:rPr>
        <w:t>分，得分率100%。</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558"/>
        <w:gridCol w:w="1489"/>
        <w:gridCol w:w="992"/>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8" w:type="dxa"/>
            <w:vAlign w:val="center"/>
          </w:tcPr>
          <w:p>
            <w:pPr>
              <w:spacing w:line="240" w:lineRule="auto"/>
              <w:ind w:firstLine="0" w:firstLineChars="0"/>
              <w:jc w:val="center"/>
              <w:rPr>
                <w:b/>
                <w:bCs/>
                <w:sz w:val="24"/>
                <w:szCs w:val="21"/>
              </w:rPr>
            </w:pPr>
            <w:r>
              <w:rPr>
                <w:rFonts w:hint="eastAsia"/>
                <w:b/>
                <w:bCs/>
                <w:sz w:val="24"/>
                <w:szCs w:val="21"/>
              </w:rPr>
              <w:t>三级指标</w:t>
            </w:r>
          </w:p>
        </w:tc>
        <w:tc>
          <w:tcPr>
            <w:tcW w:w="1558" w:type="dxa"/>
            <w:vAlign w:val="center"/>
          </w:tcPr>
          <w:p>
            <w:pPr>
              <w:spacing w:line="240" w:lineRule="auto"/>
              <w:ind w:firstLine="0" w:firstLineChars="0"/>
              <w:jc w:val="center"/>
              <w:rPr>
                <w:b/>
                <w:bCs/>
                <w:sz w:val="24"/>
                <w:szCs w:val="21"/>
              </w:rPr>
            </w:pPr>
            <w:r>
              <w:rPr>
                <w:b/>
                <w:bCs/>
                <w:sz w:val="24"/>
                <w:szCs w:val="21"/>
              </w:rPr>
              <w:t>年度目标值</w:t>
            </w:r>
          </w:p>
        </w:tc>
        <w:tc>
          <w:tcPr>
            <w:tcW w:w="1489" w:type="dxa"/>
            <w:vAlign w:val="center"/>
          </w:tcPr>
          <w:p>
            <w:pPr>
              <w:spacing w:line="240" w:lineRule="auto"/>
              <w:ind w:firstLine="0" w:firstLineChars="0"/>
              <w:jc w:val="center"/>
              <w:rPr>
                <w:b/>
                <w:bCs/>
                <w:sz w:val="24"/>
                <w:szCs w:val="21"/>
              </w:rPr>
            </w:pPr>
            <w:r>
              <w:rPr>
                <w:b/>
                <w:bCs/>
                <w:sz w:val="24"/>
                <w:szCs w:val="21"/>
              </w:rPr>
              <w:t>实际完成值</w:t>
            </w:r>
          </w:p>
        </w:tc>
        <w:tc>
          <w:tcPr>
            <w:tcW w:w="992" w:type="dxa"/>
            <w:vAlign w:val="center"/>
          </w:tcPr>
          <w:p>
            <w:pPr>
              <w:spacing w:line="240" w:lineRule="auto"/>
              <w:ind w:firstLine="0" w:firstLineChars="0"/>
              <w:jc w:val="center"/>
              <w:rPr>
                <w:b/>
                <w:bCs/>
                <w:sz w:val="24"/>
                <w:szCs w:val="21"/>
              </w:rPr>
            </w:pPr>
            <w:r>
              <w:rPr>
                <w:b/>
                <w:bCs/>
                <w:sz w:val="24"/>
                <w:szCs w:val="21"/>
              </w:rPr>
              <w:t>分值</w:t>
            </w:r>
          </w:p>
        </w:tc>
        <w:tc>
          <w:tcPr>
            <w:tcW w:w="851" w:type="dxa"/>
            <w:vAlign w:val="center"/>
          </w:tcPr>
          <w:p>
            <w:pPr>
              <w:spacing w:line="240" w:lineRule="auto"/>
              <w:ind w:firstLine="0" w:firstLineChars="0"/>
              <w:jc w:val="center"/>
              <w:rPr>
                <w:b/>
                <w:bCs/>
                <w:sz w:val="24"/>
                <w:szCs w:val="21"/>
              </w:rPr>
            </w:pPr>
            <w:r>
              <w:rPr>
                <w:b/>
                <w:bCs/>
                <w:sz w:val="24"/>
                <w:szCs w:val="21"/>
              </w:rPr>
              <w:t>得分</w:t>
            </w:r>
          </w:p>
        </w:tc>
        <w:tc>
          <w:tcPr>
            <w:tcW w:w="992" w:type="dxa"/>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职工工作积极性</w:t>
            </w:r>
          </w:p>
        </w:tc>
        <w:tc>
          <w:tcPr>
            <w:tcW w:w="1558" w:type="dxa"/>
            <w:vAlign w:val="center"/>
          </w:tcPr>
          <w:p>
            <w:pPr>
              <w:spacing w:line="240" w:lineRule="auto"/>
              <w:ind w:firstLine="0" w:firstLineChars="0"/>
              <w:jc w:val="center"/>
              <w:rPr>
                <w:sz w:val="24"/>
                <w:szCs w:val="24"/>
              </w:rPr>
            </w:pPr>
            <w:r>
              <w:rPr>
                <w:rFonts w:hint="eastAsia"/>
                <w:sz w:val="24"/>
                <w:szCs w:val="24"/>
              </w:rPr>
              <w:t>积极</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4"/>
              </w:rPr>
            </w:pPr>
            <w:r>
              <w:rPr>
                <w:rFonts w:hint="eastAsia"/>
                <w:sz w:val="24"/>
                <w:szCs w:val="24"/>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人员稳定</w:t>
            </w:r>
          </w:p>
        </w:tc>
        <w:tc>
          <w:tcPr>
            <w:tcW w:w="1558" w:type="dxa"/>
            <w:vAlign w:val="center"/>
          </w:tcPr>
          <w:p>
            <w:pPr>
              <w:spacing w:line="240" w:lineRule="auto"/>
              <w:ind w:firstLine="0" w:firstLineChars="0"/>
              <w:jc w:val="center"/>
              <w:rPr>
                <w:sz w:val="24"/>
                <w:szCs w:val="24"/>
              </w:rPr>
            </w:pPr>
            <w:r>
              <w:rPr>
                <w:rFonts w:hint="eastAsia"/>
                <w:sz w:val="24"/>
                <w:szCs w:val="24"/>
              </w:rPr>
              <w:t>稳定</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4"/>
              </w:rPr>
            </w:pPr>
            <w:r>
              <w:rPr>
                <w:rFonts w:hint="eastAsia"/>
                <w:sz w:val="24"/>
                <w:szCs w:val="24"/>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宣传地区覆盖率</w:t>
            </w:r>
          </w:p>
        </w:tc>
        <w:tc>
          <w:tcPr>
            <w:tcW w:w="1558" w:type="dxa"/>
            <w:vAlign w:val="center"/>
          </w:tcPr>
          <w:p>
            <w:pPr>
              <w:spacing w:line="240" w:lineRule="auto"/>
              <w:ind w:firstLine="0" w:firstLineChars="0"/>
              <w:jc w:val="center"/>
              <w:rPr>
                <w:sz w:val="24"/>
                <w:szCs w:val="24"/>
              </w:rPr>
            </w:pPr>
            <w:r>
              <w:rPr>
                <w:rFonts w:hint="eastAsia"/>
                <w:sz w:val="24"/>
                <w:szCs w:val="24"/>
              </w:rPr>
              <w:t>=100%</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4"/>
              </w:rPr>
            </w:pPr>
            <w:r>
              <w:rPr>
                <w:rFonts w:hint="eastAsia"/>
                <w:sz w:val="24"/>
                <w:szCs w:val="24"/>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宣传人群覆盖率</w:t>
            </w:r>
          </w:p>
        </w:tc>
        <w:tc>
          <w:tcPr>
            <w:tcW w:w="1558" w:type="dxa"/>
            <w:vAlign w:val="center"/>
          </w:tcPr>
          <w:p>
            <w:pPr>
              <w:spacing w:line="240" w:lineRule="auto"/>
              <w:ind w:firstLine="0" w:firstLineChars="0"/>
              <w:jc w:val="center"/>
              <w:rPr>
                <w:sz w:val="24"/>
                <w:szCs w:val="24"/>
              </w:rPr>
            </w:pPr>
            <w:r>
              <w:rPr>
                <w:rFonts w:hint="eastAsia"/>
                <w:sz w:val="24"/>
                <w:szCs w:val="24"/>
              </w:rPr>
              <w:t>=100%</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4"/>
              </w:rPr>
            </w:pPr>
            <w:r>
              <w:rPr>
                <w:rFonts w:hint="eastAsia"/>
                <w:sz w:val="24"/>
                <w:szCs w:val="24"/>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重点工作政策符合率</w:t>
            </w:r>
          </w:p>
        </w:tc>
        <w:tc>
          <w:tcPr>
            <w:tcW w:w="1558" w:type="dxa"/>
            <w:vAlign w:val="center"/>
          </w:tcPr>
          <w:p>
            <w:pPr>
              <w:spacing w:line="240" w:lineRule="auto"/>
              <w:ind w:firstLine="0" w:firstLineChars="0"/>
              <w:jc w:val="center"/>
              <w:rPr>
                <w:sz w:val="24"/>
                <w:szCs w:val="24"/>
              </w:rPr>
            </w:pPr>
            <w:r>
              <w:rPr>
                <w:rFonts w:hint="eastAsia"/>
                <w:sz w:val="24"/>
                <w:szCs w:val="24"/>
              </w:rPr>
              <w:t>=100%</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4"/>
              </w:rPr>
            </w:pPr>
            <w:r>
              <w:rPr>
                <w:rFonts w:hint="eastAsia"/>
                <w:sz w:val="24"/>
                <w:szCs w:val="24"/>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会议精神传达率</w:t>
            </w:r>
          </w:p>
        </w:tc>
        <w:tc>
          <w:tcPr>
            <w:tcW w:w="1558" w:type="dxa"/>
            <w:vAlign w:val="center"/>
          </w:tcPr>
          <w:p>
            <w:pPr>
              <w:spacing w:line="240" w:lineRule="auto"/>
              <w:ind w:firstLine="0" w:firstLineChars="0"/>
              <w:jc w:val="center"/>
              <w:rPr>
                <w:sz w:val="24"/>
                <w:szCs w:val="24"/>
              </w:rPr>
            </w:pPr>
            <w:r>
              <w:rPr>
                <w:rFonts w:hint="eastAsia"/>
                <w:sz w:val="24"/>
                <w:szCs w:val="24"/>
              </w:rPr>
              <w:t>=100%</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8" w:type="dxa"/>
            <w:vAlign w:val="center"/>
          </w:tcPr>
          <w:p>
            <w:pPr>
              <w:spacing w:line="240" w:lineRule="auto"/>
              <w:ind w:firstLine="0" w:firstLineChars="0"/>
              <w:rPr>
                <w:rFonts w:cs="仿宋_GB2312"/>
                <w:color w:val="333333"/>
                <w:sz w:val="24"/>
                <w:szCs w:val="24"/>
              </w:rPr>
            </w:pPr>
            <w:r>
              <w:rPr>
                <w:rFonts w:hint="eastAsia" w:cs="仿宋_GB2312"/>
                <w:color w:val="333333"/>
                <w:sz w:val="24"/>
                <w:szCs w:val="24"/>
              </w:rPr>
              <w:t>调研成果转化率</w:t>
            </w:r>
          </w:p>
        </w:tc>
        <w:tc>
          <w:tcPr>
            <w:tcW w:w="1558" w:type="dxa"/>
            <w:vAlign w:val="center"/>
          </w:tcPr>
          <w:p>
            <w:pPr>
              <w:spacing w:line="240" w:lineRule="auto"/>
              <w:ind w:firstLine="0" w:firstLineChars="0"/>
              <w:jc w:val="center"/>
              <w:rPr>
                <w:sz w:val="24"/>
                <w:szCs w:val="24"/>
              </w:rPr>
            </w:pPr>
            <w:r>
              <w:rPr>
                <w:rFonts w:hint="eastAsia"/>
                <w:sz w:val="24"/>
                <w:szCs w:val="24"/>
              </w:rPr>
              <w:t>=100%</w:t>
            </w:r>
          </w:p>
        </w:tc>
        <w:tc>
          <w:tcPr>
            <w:tcW w:w="1489" w:type="dxa"/>
            <w:vAlign w:val="center"/>
          </w:tcPr>
          <w:p>
            <w:pPr>
              <w:spacing w:line="240" w:lineRule="auto"/>
              <w:ind w:firstLine="0" w:firstLineChars="0"/>
              <w:jc w:val="center"/>
              <w:rPr>
                <w:sz w:val="24"/>
                <w:szCs w:val="24"/>
              </w:rPr>
            </w:pPr>
            <w:r>
              <w:rPr>
                <w:rFonts w:hint="eastAsia"/>
                <w:sz w:val="24"/>
                <w:szCs w:val="24"/>
              </w:rPr>
              <w:t>100%</w:t>
            </w:r>
          </w:p>
        </w:tc>
        <w:tc>
          <w:tcPr>
            <w:tcW w:w="992" w:type="dxa"/>
            <w:vAlign w:val="center"/>
          </w:tcPr>
          <w:p>
            <w:pPr>
              <w:spacing w:line="240" w:lineRule="auto"/>
              <w:ind w:firstLine="0" w:firstLineChars="0"/>
              <w:jc w:val="center"/>
              <w:rPr>
                <w:sz w:val="24"/>
                <w:szCs w:val="24"/>
              </w:rPr>
            </w:pPr>
            <w:r>
              <w:rPr>
                <w:rFonts w:hint="eastAsia"/>
                <w:sz w:val="24"/>
                <w:szCs w:val="24"/>
              </w:rPr>
              <w:t>2</w:t>
            </w:r>
          </w:p>
        </w:tc>
        <w:tc>
          <w:tcPr>
            <w:tcW w:w="851" w:type="dxa"/>
            <w:vAlign w:val="center"/>
          </w:tcPr>
          <w:p>
            <w:pPr>
              <w:spacing w:line="240" w:lineRule="auto"/>
              <w:ind w:firstLine="0" w:firstLineChars="0"/>
              <w:jc w:val="center"/>
              <w:rPr>
                <w:sz w:val="24"/>
                <w:szCs w:val="21"/>
              </w:rPr>
            </w:pPr>
            <w:r>
              <w:rPr>
                <w:rFonts w:hint="eastAsia"/>
                <w:sz w:val="24"/>
                <w:szCs w:val="21"/>
              </w:rPr>
              <w:t>2</w:t>
            </w:r>
          </w:p>
        </w:tc>
        <w:tc>
          <w:tcPr>
            <w:tcW w:w="992" w:type="dxa"/>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95" w:type="dxa"/>
            <w:gridSpan w:val="3"/>
            <w:vAlign w:val="center"/>
          </w:tcPr>
          <w:p>
            <w:pPr>
              <w:spacing w:line="240" w:lineRule="auto"/>
              <w:ind w:firstLine="0" w:firstLineChars="0"/>
              <w:jc w:val="center"/>
              <w:rPr>
                <w:rFonts w:cs="仿宋_GB2312"/>
                <w:b/>
                <w:bCs/>
                <w:color w:val="333333"/>
                <w:sz w:val="24"/>
                <w:szCs w:val="24"/>
              </w:rPr>
            </w:pPr>
            <w:r>
              <w:rPr>
                <w:rFonts w:hint="eastAsia" w:cs="仿宋_GB2312"/>
                <w:b/>
                <w:bCs/>
                <w:color w:val="333333"/>
                <w:sz w:val="24"/>
                <w:szCs w:val="24"/>
              </w:rPr>
              <w:t>合计</w:t>
            </w:r>
          </w:p>
        </w:tc>
        <w:tc>
          <w:tcPr>
            <w:tcW w:w="992" w:type="dxa"/>
            <w:vAlign w:val="center"/>
          </w:tcPr>
          <w:p>
            <w:pPr>
              <w:spacing w:line="240" w:lineRule="auto"/>
              <w:ind w:firstLine="0" w:firstLineChars="0"/>
              <w:jc w:val="center"/>
              <w:rPr>
                <w:b/>
                <w:bCs/>
                <w:sz w:val="24"/>
                <w:szCs w:val="24"/>
              </w:rPr>
            </w:pPr>
            <w:r>
              <w:rPr>
                <w:rFonts w:hint="eastAsia"/>
                <w:b/>
                <w:bCs/>
                <w:sz w:val="24"/>
                <w:szCs w:val="24"/>
              </w:rPr>
              <w:t>14</w:t>
            </w:r>
          </w:p>
        </w:tc>
        <w:tc>
          <w:tcPr>
            <w:tcW w:w="851" w:type="dxa"/>
            <w:vAlign w:val="center"/>
          </w:tcPr>
          <w:p>
            <w:pPr>
              <w:spacing w:line="240" w:lineRule="auto"/>
              <w:ind w:firstLine="0" w:firstLineChars="0"/>
              <w:jc w:val="center"/>
              <w:rPr>
                <w:b/>
                <w:bCs/>
                <w:sz w:val="24"/>
                <w:szCs w:val="24"/>
              </w:rPr>
            </w:pPr>
            <w:r>
              <w:rPr>
                <w:rFonts w:hint="eastAsia"/>
                <w:b/>
                <w:bCs/>
                <w:sz w:val="24"/>
                <w:szCs w:val="24"/>
              </w:rPr>
              <w:t>14</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keepNext w:val="0"/>
        <w:keepLines w:val="0"/>
        <w:pageBreakBefore w:val="0"/>
        <w:kinsoku/>
        <w:wordWrap/>
        <w:overflowPunct/>
        <w:topLinePunct w:val="0"/>
        <w:autoSpaceDE/>
        <w:autoSpaceDN/>
        <w:bidi w:val="0"/>
        <w:adjustRightInd/>
        <w:snapToGrid/>
        <w:ind w:firstLine="562"/>
        <w:jc w:val="both"/>
        <w:textAlignment w:val="auto"/>
        <w:rPr>
          <w:rFonts w:hAnsi="宋体"/>
          <w:b/>
          <w:bCs/>
          <w:szCs w:val="28"/>
        </w:rPr>
      </w:pPr>
      <w:r>
        <w:rPr>
          <w:rFonts w:hint="eastAsia" w:hAnsi="宋体" w:cs="宋体"/>
          <w:b/>
          <w:bCs/>
          <w:kern w:val="0"/>
          <w:szCs w:val="28"/>
        </w:rPr>
        <w:t>职工工作积极性：</w:t>
      </w:r>
      <w:r>
        <w:rPr>
          <w:rFonts w:hint="eastAsia" w:hAnsi="宋体" w:cs="宋体"/>
          <w:kern w:val="0"/>
          <w:szCs w:val="28"/>
        </w:rPr>
        <w:t>2021年部各项工作保障资金及时到位，保障了职工的各项业务需求，提高了职工工作的积极性。指标分值2分，按评分标准得2分，得分率100%。</w:t>
      </w:r>
    </w:p>
    <w:p>
      <w:pPr>
        <w:keepNext w:val="0"/>
        <w:keepLines w:val="0"/>
        <w:pageBreakBefore w:val="0"/>
        <w:kinsoku/>
        <w:wordWrap/>
        <w:overflowPunct/>
        <w:topLinePunct w:val="0"/>
        <w:autoSpaceDE/>
        <w:autoSpaceDN/>
        <w:bidi w:val="0"/>
        <w:adjustRightInd/>
        <w:snapToGrid/>
        <w:ind w:firstLine="562"/>
        <w:jc w:val="both"/>
        <w:textAlignment w:val="auto"/>
        <w:rPr>
          <w:rFonts w:hAnsi="宋体" w:cs="宋体"/>
          <w:kern w:val="0"/>
          <w:szCs w:val="28"/>
        </w:rPr>
      </w:pPr>
      <w:r>
        <w:rPr>
          <w:rFonts w:hint="eastAsia" w:hAnsi="宋体"/>
          <w:b/>
          <w:bCs/>
          <w:szCs w:val="28"/>
        </w:rPr>
        <w:t>人员稳定：</w:t>
      </w:r>
      <w:r>
        <w:rPr>
          <w:rFonts w:hint="eastAsia" w:hAnsi="宋体"/>
          <w:szCs w:val="28"/>
        </w:rPr>
        <w:t>2021年我部全年提请部务会审议干部议题9批123人次，其中提任处级领导干部4人、晋升职级73人、试用期满正式任职19人、选调干部6人，轮岗交流干部17人、免职3人（含调出人员）、组织调整1人。人员较为稳定，达到了既定目标值。指标分值2分，按评分标准得2分，得分率100%。</w:t>
      </w:r>
    </w:p>
    <w:p>
      <w:pPr>
        <w:keepNext w:val="0"/>
        <w:keepLines w:val="0"/>
        <w:pageBreakBefore w:val="0"/>
        <w:widowControl/>
        <w:kinsoku/>
        <w:wordWrap/>
        <w:overflowPunct/>
        <w:topLinePunct w:val="0"/>
        <w:autoSpaceDE/>
        <w:autoSpaceDN/>
        <w:bidi w:val="0"/>
        <w:adjustRightInd/>
        <w:snapToGrid/>
        <w:ind w:firstLine="562"/>
        <w:jc w:val="both"/>
        <w:textAlignment w:val="auto"/>
        <w:rPr>
          <w:rFonts w:hAnsi="宋体" w:cs="宋体"/>
          <w:kern w:val="0"/>
          <w:szCs w:val="28"/>
        </w:rPr>
      </w:pPr>
      <w:r>
        <w:rPr>
          <w:rFonts w:hint="eastAsia" w:hAnsi="宋体" w:cs="宋体"/>
          <w:b/>
          <w:bCs/>
          <w:kern w:val="0"/>
          <w:szCs w:val="28"/>
        </w:rPr>
        <w:t>宣传地区覆盖率：</w:t>
      </w:r>
      <w:r>
        <w:rPr>
          <w:rFonts w:hint="eastAsia" w:hAnsi="宋体" w:cs="宋体"/>
          <w:kern w:val="0"/>
          <w:szCs w:val="28"/>
        </w:rPr>
        <w:t>2021年我部各项宣传工作覆盖了全省14个市（州），促进了全省宣传工作的蓬勃发展，宣传地区覆盖率为100%。达到了预期目标值。指标分值2分，按评分标准得2分，得分率100%。</w:t>
      </w:r>
    </w:p>
    <w:p>
      <w:pPr>
        <w:keepNext w:val="0"/>
        <w:keepLines w:val="0"/>
        <w:pageBreakBefore w:val="0"/>
        <w:widowControl/>
        <w:kinsoku/>
        <w:wordWrap/>
        <w:overflowPunct/>
        <w:topLinePunct w:val="0"/>
        <w:autoSpaceDE/>
        <w:autoSpaceDN/>
        <w:bidi w:val="0"/>
        <w:adjustRightInd/>
        <w:snapToGrid/>
        <w:ind w:firstLine="562"/>
        <w:jc w:val="both"/>
        <w:textAlignment w:val="auto"/>
        <w:rPr>
          <w:rFonts w:hAnsi="宋体" w:cs="宋体"/>
          <w:kern w:val="0"/>
          <w:szCs w:val="28"/>
        </w:rPr>
      </w:pPr>
      <w:r>
        <w:rPr>
          <w:rFonts w:hint="eastAsia" w:hAnsi="宋体" w:cs="宋体"/>
          <w:b/>
          <w:bCs/>
          <w:kern w:val="0"/>
          <w:szCs w:val="28"/>
        </w:rPr>
        <w:t>宣传人群覆盖率：</w:t>
      </w:r>
      <w:r>
        <w:rPr>
          <w:rFonts w:hint="eastAsia" w:hAnsi="宋体" w:cs="宋体"/>
          <w:kern w:val="0"/>
          <w:szCs w:val="28"/>
        </w:rPr>
        <w:t>2021年我部积极开展各项宣传工作，通过广播电视、文明网、宣传展板等形式，全面加强宣传教育工作，确保知宣知识传到户到人，实现各类人群全覆盖。宣传人群覆盖率为100%。达到了预期目标值。指标分值2分，按评分标准得2分，得分率100%。</w:t>
      </w:r>
    </w:p>
    <w:p>
      <w:pPr>
        <w:keepNext w:val="0"/>
        <w:keepLines w:val="0"/>
        <w:pageBreakBefore w:val="0"/>
        <w:widowControl/>
        <w:kinsoku/>
        <w:wordWrap/>
        <w:overflowPunct/>
        <w:topLinePunct w:val="0"/>
        <w:autoSpaceDE/>
        <w:autoSpaceDN/>
        <w:bidi w:val="0"/>
        <w:adjustRightInd/>
        <w:snapToGrid/>
        <w:ind w:firstLine="562"/>
        <w:jc w:val="both"/>
        <w:textAlignment w:val="auto"/>
        <w:rPr>
          <w:rFonts w:hAnsi="宋体" w:cs="宋体"/>
          <w:kern w:val="0"/>
          <w:szCs w:val="28"/>
        </w:rPr>
      </w:pPr>
      <w:r>
        <w:rPr>
          <w:rFonts w:hint="eastAsia" w:hAnsi="宋体" w:cs="宋体"/>
          <w:b/>
          <w:bCs/>
          <w:kern w:val="0"/>
          <w:szCs w:val="28"/>
        </w:rPr>
        <w:t>重点工作政策符合率：</w:t>
      </w:r>
      <w:r>
        <w:rPr>
          <w:rFonts w:hint="eastAsia" w:hAnsi="宋体" w:cs="宋体"/>
          <w:kern w:val="0"/>
          <w:szCs w:val="28"/>
        </w:rPr>
        <w:t>2021年我部完善宣传文化领域法规制度，加快推进社会主义核心价值观入法入规，推动《甘肃省文明行为促进条例》和省委宣传部《审读工作管理办法》《行政审批暂行规定》等一批法规、规范性文件落地实施。重点工作政策符合率为100%，达到了既定目标值。指标分值2分，按评分标准得2分，得分率100%。</w:t>
      </w:r>
    </w:p>
    <w:p>
      <w:pPr>
        <w:keepNext w:val="0"/>
        <w:keepLines w:val="0"/>
        <w:pageBreakBefore w:val="0"/>
        <w:widowControl/>
        <w:kinsoku/>
        <w:wordWrap/>
        <w:overflowPunct/>
        <w:topLinePunct w:val="0"/>
        <w:autoSpaceDE/>
        <w:autoSpaceDN/>
        <w:bidi w:val="0"/>
        <w:adjustRightInd/>
        <w:snapToGrid/>
        <w:ind w:firstLine="562"/>
        <w:jc w:val="both"/>
        <w:textAlignment w:val="auto"/>
        <w:rPr>
          <w:rFonts w:hAnsi="宋体" w:cs="宋体"/>
          <w:kern w:val="0"/>
          <w:szCs w:val="28"/>
        </w:rPr>
      </w:pPr>
      <w:r>
        <w:rPr>
          <w:rFonts w:hint="eastAsia" w:hAnsi="宋体" w:cs="宋体"/>
          <w:b/>
          <w:bCs/>
          <w:kern w:val="0"/>
          <w:szCs w:val="28"/>
        </w:rPr>
        <w:t>会议精神传达率：</w:t>
      </w:r>
      <w:r>
        <w:rPr>
          <w:rFonts w:hint="eastAsia" w:hAnsi="宋体" w:cs="宋体"/>
          <w:kern w:val="0"/>
          <w:szCs w:val="28"/>
        </w:rPr>
        <w:t>2021年我部领导班子坚持以习近平新时代中国特色社会主义思想为指导，认真贯彻落实党的十九大和十九届历次全会精神，贯彻落实习近平总书记对甘肃重要讲话和指示精神，贯彻落实全国宣传部长会议精神和省委部署要求，大力唱响庆祝建党百年的昂扬旋律，广泛凝聚奋进新征程的强大力量，坚持稳中求进、守正创新、担当作为，会议精神传达率为100%，达到了预期目标值。指标分值2分，按评分标准得2分，得分率100%。</w:t>
      </w:r>
    </w:p>
    <w:p>
      <w:pPr>
        <w:keepNext w:val="0"/>
        <w:keepLines w:val="0"/>
        <w:pageBreakBefore w:val="0"/>
        <w:widowControl/>
        <w:kinsoku/>
        <w:wordWrap/>
        <w:overflowPunct/>
        <w:topLinePunct w:val="0"/>
        <w:autoSpaceDE/>
        <w:autoSpaceDN/>
        <w:bidi w:val="0"/>
        <w:adjustRightInd/>
        <w:snapToGrid/>
        <w:ind w:firstLine="562"/>
        <w:jc w:val="both"/>
        <w:textAlignment w:val="auto"/>
        <w:rPr>
          <w:rFonts w:hAnsi="宋体" w:cs="宋体"/>
          <w:kern w:val="0"/>
          <w:szCs w:val="28"/>
        </w:rPr>
      </w:pPr>
      <w:r>
        <w:rPr>
          <w:rFonts w:hint="eastAsia" w:hAnsi="宋体" w:cs="宋体"/>
          <w:b/>
          <w:bCs/>
          <w:kern w:val="0"/>
          <w:szCs w:val="28"/>
        </w:rPr>
        <w:t>调研成果转化率：</w:t>
      </w:r>
      <w:r>
        <w:rPr>
          <w:rFonts w:hint="eastAsia" w:hAnsi="宋体" w:cs="宋体"/>
          <w:kern w:val="0"/>
          <w:szCs w:val="28"/>
        </w:rPr>
        <w:t>2021年我部积极组织文化领域调研督导工作，推动社会主义精神文明建设，激发全省文艺创作者的创作、生产热情，提升全省文化知名度和影响力，调研成果转化率为100%，达到了预期目标值。指标分值2分，按评分标准得2分，得分率100%。</w:t>
      </w:r>
    </w:p>
    <w:p>
      <w:pPr>
        <w:widowControl/>
        <w:ind w:firstLine="560"/>
        <w:jc w:val="left"/>
        <w:rPr>
          <w:rFonts w:hAnsi="宋体" w:cs="宋体"/>
          <w:kern w:val="0"/>
          <w:szCs w:val="28"/>
        </w:rPr>
      </w:pPr>
      <w:r>
        <w:rPr>
          <w:rFonts w:hint="eastAsia" w:hAnsi="宋体" w:cs="宋体"/>
          <w:b/>
          <w:bCs/>
          <w:kern w:val="0"/>
          <w:szCs w:val="28"/>
        </w:rPr>
        <w:t>（3）社会影响</w:t>
      </w:r>
    </w:p>
    <w:p>
      <w:pPr>
        <w:widowControl/>
        <w:ind w:firstLine="560"/>
        <w:jc w:val="left"/>
        <w:rPr>
          <w:rFonts w:hAnsi="宋体" w:cs="宋体"/>
          <w:kern w:val="0"/>
          <w:szCs w:val="28"/>
        </w:rPr>
      </w:pPr>
      <w:r>
        <w:rPr>
          <w:rFonts w:hint="eastAsia"/>
        </w:rPr>
        <w:t>社会影响指标包括单位获奖情况、违法违纪情况两个指标，本项指标分值合计3分，自评得分3分，得分率100%。</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559"/>
        <w:gridCol w:w="1559"/>
        <w:gridCol w:w="1134"/>
        <w:gridCol w:w="99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三级指标</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年度目标值</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实际完成值</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分值</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w:t>
            </w:r>
          </w:p>
        </w:tc>
        <w:tc>
          <w:tcPr>
            <w:tcW w:w="1247"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单位获奖情况</w:t>
            </w:r>
          </w:p>
        </w:tc>
        <w:tc>
          <w:tcPr>
            <w:tcW w:w="1559"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559"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1次</w:t>
            </w:r>
          </w:p>
        </w:tc>
        <w:tc>
          <w:tcPr>
            <w:tcW w:w="1134"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93"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47"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违法违纪情况</w:t>
            </w:r>
          </w:p>
        </w:tc>
        <w:tc>
          <w:tcPr>
            <w:tcW w:w="1559"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559"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1134"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93"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47" w:type="dxa"/>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8" w:type="dxa"/>
            <w:gridSpan w:val="3"/>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合计</w:t>
            </w:r>
          </w:p>
        </w:tc>
        <w:tc>
          <w:tcPr>
            <w:tcW w:w="1134"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3</w:t>
            </w:r>
          </w:p>
        </w:tc>
        <w:tc>
          <w:tcPr>
            <w:tcW w:w="993"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3</w:t>
            </w:r>
          </w:p>
        </w:tc>
        <w:tc>
          <w:tcPr>
            <w:tcW w:w="1247"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100%</w:t>
            </w:r>
          </w:p>
        </w:tc>
      </w:tr>
    </w:tbl>
    <w:p>
      <w:pPr>
        <w:keepNext w:val="0"/>
        <w:keepLines w:val="0"/>
        <w:pageBreakBefore w:val="0"/>
        <w:widowControl/>
        <w:kinsoku/>
        <w:wordWrap/>
        <w:overflowPunct/>
        <w:topLinePunct w:val="0"/>
        <w:autoSpaceDE/>
        <w:autoSpaceDN/>
        <w:bidi w:val="0"/>
        <w:adjustRightInd/>
        <w:snapToGrid/>
        <w:ind w:firstLine="562"/>
        <w:jc w:val="left"/>
        <w:textAlignment w:val="auto"/>
        <w:rPr>
          <w:rFonts w:hAnsi="宋体"/>
          <w:szCs w:val="28"/>
        </w:rPr>
      </w:pPr>
      <w:r>
        <w:rPr>
          <w:rFonts w:hint="eastAsia" w:hAnsi="宋体"/>
          <w:b/>
          <w:bCs/>
          <w:szCs w:val="28"/>
        </w:rPr>
        <w:t>单位获奖情况：</w:t>
      </w:r>
      <w:r>
        <w:rPr>
          <w:rFonts w:hint="eastAsia" w:hAnsi="宋体"/>
          <w:szCs w:val="28"/>
          <w:highlight w:val="none"/>
        </w:rPr>
        <w:t>2021年我部</w:t>
      </w:r>
      <w:r>
        <w:rPr>
          <w:rFonts w:hint="eastAsia" w:hAnsi="宋体"/>
          <w:szCs w:val="28"/>
          <w:highlight w:val="none"/>
          <w:lang w:eastAsia="zh-CN"/>
        </w:rPr>
        <w:t>在平安甘肃建设工作考核中被评为“优秀”等次</w:t>
      </w:r>
      <w:r>
        <w:rPr>
          <w:rFonts w:hint="eastAsia" w:hAnsi="宋体"/>
          <w:szCs w:val="28"/>
          <w:highlight w:val="none"/>
        </w:rPr>
        <w:t>；</w:t>
      </w:r>
      <w:r>
        <w:rPr>
          <w:rFonts w:hint="eastAsia" w:hAnsi="宋体"/>
          <w:szCs w:val="28"/>
        </w:rPr>
        <w:t>1人被评为全省优秀党务工作者，5人被评为全省脱贫攻坚、抗击疫情先进个人，机关凝聚力战斗力进一步增强。全年获奖颇丰，达到了预期目标值。指标分值2分，按评分标准得2分，得分率100%。</w:t>
      </w:r>
    </w:p>
    <w:p>
      <w:pPr>
        <w:keepNext w:val="0"/>
        <w:keepLines w:val="0"/>
        <w:pageBreakBefore w:val="0"/>
        <w:widowControl/>
        <w:kinsoku/>
        <w:wordWrap/>
        <w:overflowPunct/>
        <w:topLinePunct w:val="0"/>
        <w:autoSpaceDE/>
        <w:autoSpaceDN/>
        <w:bidi w:val="0"/>
        <w:adjustRightInd/>
        <w:snapToGrid/>
        <w:ind w:firstLine="562"/>
        <w:jc w:val="left"/>
        <w:textAlignment w:val="auto"/>
        <w:rPr>
          <w:rFonts w:hAnsi="宋体"/>
          <w:szCs w:val="28"/>
        </w:rPr>
      </w:pPr>
      <w:r>
        <w:rPr>
          <w:rFonts w:hint="eastAsia" w:hAnsi="宋体"/>
          <w:b/>
          <w:bCs/>
          <w:szCs w:val="28"/>
        </w:rPr>
        <w:t>违法违纪情况：</w:t>
      </w:r>
      <w:r>
        <w:rPr>
          <w:rFonts w:hint="eastAsia" w:hAnsi="宋体"/>
          <w:szCs w:val="28"/>
        </w:rPr>
        <w:t>2021年我部未出现在国家层面督查或人大审计、监察等监督监察时发现问题被问责的情况。指标分值1分，按评分标准得1分，得分率100%。</w:t>
      </w:r>
    </w:p>
    <w:p>
      <w:pPr>
        <w:pStyle w:val="4"/>
        <w:ind w:firstLine="562"/>
      </w:pPr>
      <w:bookmarkStart w:id="50" w:name="_Toc65230999"/>
      <w:bookmarkStart w:id="51" w:name="_Toc14548"/>
      <w:r>
        <w:rPr>
          <w:rFonts w:hint="eastAsia"/>
        </w:rPr>
        <w:t>4、能力建设</w:t>
      </w:r>
      <w:bookmarkEnd w:id="50"/>
      <w:bookmarkEnd w:id="51"/>
    </w:p>
    <w:p>
      <w:pPr>
        <w:ind w:firstLine="560"/>
        <w:rPr>
          <w:rFonts w:hAnsi="宋体"/>
          <w:szCs w:val="28"/>
        </w:rPr>
      </w:pPr>
      <w:r>
        <w:rPr>
          <w:rFonts w:hint="eastAsia" w:hAnsi="宋体"/>
          <w:szCs w:val="28"/>
        </w:rPr>
        <w:t>根据《</w:t>
      </w:r>
      <w:r>
        <w:rPr>
          <w:rFonts w:hAnsi="宋体"/>
          <w:szCs w:val="28"/>
        </w:rPr>
        <w:t>202</w:t>
      </w:r>
      <w:r>
        <w:rPr>
          <w:rFonts w:hint="eastAsia" w:hAnsi="宋体"/>
          <w:szCs w:val="28"/>
        </w:rPr>
        <w:t>1</w:t>
      </w:r>
      <w:r>
        <w:rPr>
          <w:rFonts w:hAnsi="宋体"/>
          <w:szCs w:val="28"/>
        </w:rPr>
        <w:t>年</w:t>
      </w:r>
      <w:r>
        <w:rPr>
          <w:rFonts w:hint="eastAsia" w:hAnsi="宋体"/>
          <w:szCs w:val="28"/>
        </w:rPr>
        <w:t>中共甘肃省委宣传部部门</w:t>
      </w:r>
      <w:r>
        <w:rPr>
          <w:rFonts w:hAnsi="宋体"/>
          <w:szCs w:val="28"/>
        </w:rPr>
        <w:t>整体支出绩效自评表》，</w:t>
      </w:r>
      <w:r>
        <w:rPr>
          <w:rFonts w:hint="eastAsia" w:hAnsi="宋体"/>
          <w:szCs w:val="28"/>
        </w:rPr>
        <w:t>一级指标</w:t>
      </w:r>
      <w:r>
        <w:rPr>
          <w:rFonts w:hAnsi="宋体"/>
          <w:szCs w:val="28"/>
        </w:rPr>
        <w:t>能力建设下设</w:t>
      </w:r>
      <w:r>
        <w:rPr>
          <w:rFonts w:hint="eastAsia" w:hAnsi="宋体"/>
          <w:szCs w:val="28"/>
        </w:rPr>
        <w:t>3个</w:t>
      </w:r>
      <w:r>
        <w:rPr>
          <w:rFonts w:hAnsi="宋体"/>
          <w:szCs w:val="28"/>
        </w:rPr>
        <w:t>三级指标，指标</w:t>
      </w:r>
      <w:r>
        <w:rPr>
          <w:rFonts w:hint="eastAsia" w:hAnsi="宋体"/>
          <w:szCs w:val="28"/>
        </w:rPr>
        <w:t>分值</w:t>
      </w:r>
      <w:r>
        <w:rPr>
          <w:rFonts w:hAnsi="宋体"/>
          <w:szCs w:val="28"/>
        </w:rPr>
        <w:t>合计</w:t>
      </w:r>
      <w:r>
        <w:rPr>
          <w:rFonts w:hint="eastAsia" w:hAnsi="宋体"/>
          <w:szCs w:val="28"/>
        </w:rPr>
        <w:t>10</w:t>
      </w:r>
      <w:r>
        <w:rPr>
          <w:rFonts w:hAnsi="宋体"/>
          <w:szCs w:val="28"/>
        </w:rPr>
        <w:t>分，自评得分</w:t>
      </w:r>
      <w:r>
        <w:rPr>
          <w:rFonts w:hint="eastAsia" w:hAnsi="宋体"/>
          <w:szCs w:val="28"/>
        </w:rPr>
        <w:t>10</w:t>
      </w:r>
      <w:r>
        <w:rPr>
          <w:rFonts w:hAnsi="宋体"/>
          <w:szCs w:val="28"/>
        </w:rPr>
        <w:t>分，得分率为100%。</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3"/>
        <w:gridCol w:w="1545"/>
        <w:gridCol w:w="1487"/>
        <w:gridCol w:w="778"/>
        <w:gridCol w:w="78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33" w:type="dxa"/>
            <w:vAlign w:val="center"/>
          </w:tcPr>
          <w:p>
            <w:pPr>
              <w:spacing w:line="240" w:lineRule="auto"/>
              <w:ind w:firstLine="0" w:firstLineChars="0"/>
              <w:jc w:val="center"/>
              <w:rPr>
                <w:b/>
                <w:bCs/>
                <w:sz w:val="24"/>
                <w:szCs w:val="21"/>
              </w:rPr>
            </w:pPr>
            <w:r>
              <w:rPr>
                <w:rFonts w:hint="eastAsia"/>
                <w:b/>
                <w:bCs/>
                <w:sz w:val="24"/>
                <w:szCs w:val="21"/>
              </w:rPr>
              <w:t>三级指标</w:t>
            </w:r>
          </w:p>
        </w:tc>
        <w:tc>
          <w:tcPr>
            <w:tcW w:w="1545" w:type="dxa"/>
            <w:vAlign w:val="center"/>
          </w:tcPr>
          <w:p>
            <w:pPr>
              <w:spacing w:line="240" w:lineRule="auto"/>
              <w:ind w:firstLine="0" w:firstLineChars="0"/>
              <w:jc w:val="center"/>
              <w:rPr>
                <w:b/>
                <w:bCs/>
                <w:sz w:val="24"/>
                <w:szCs w:val="21"/>
              </w:rPr>
            </w:pPr>
            <w:r>
              <w:rPr>
                <w:b/>
                <w:bCs/>
                <w:sz w:val="24"/>
                <w:szCs w:val="21"/>
              </w:rPr>
              <w:t>年度指标值</w:t>
            </w:r>
          </w:p>
        </w:tc>
        <w:tc>
          <w:tcPr>
            <w:tcW w:w="1487" w:type="dxa"/>
            <w:vAlign w:val="center"/>
          </w:tcPr>
          <w:p>
            <w:pPr>
              <w:spacing w:line="240" w:lineRule="auto"/>
              <w:ind w:firstLine="0" w:firstLineChars="0"/>
              <w:jc w:val="center"/>
              <w:rPr>
                <w:b/>
                <w:bCs/>
                <w:sz w:val="24"/>
                <w:szCs w:val="21"/>
              </w:rPr>
            </w:pPr>
            <w:r>
              <w:rPr>
                <w:b/>
                <w:bCs/>
                <w:sz w:val="24"/>
                <w:szCs w:val="21"/>
              </w:rPr>
              <w:t>实际完成值</w:t>
            </w:r>
          </w:p>
        </w:tc>
        <w:tc>
          <w:tcPr>
            <w:tcW w:w="778" w:type="dxa"/>
            <w:vAlign w:val="center"/>
          </w:tcPr>
          <w:p>
            <w:pPr>
              <w:spacing w:line="240" w:lineRule="auto"/>
              <w:ind w:firstLine="0" w:firstLineChars="0"/>
              <w:jc w:val="center"/>
              <w:rPr>
                <w:b/>
                <w:bCs/>
                <w:sz w:val="24"/>
                <w:szCs w:val="21"/>
              </w:rPr>
            </w:pPr>
            <w:r>
              <w:rPr>
                <w:b/>
                <w:bCs/>
                <w:sz w:val="24"/>
                <w:szCs w:val="21"/>
              </w:rPr>
              <w:t>分值</w:t>
            </w:r>
          </w:p>
        </w:tc>
        <w:tc>
          <w:tcPr>
            <w:tcW w:w="782" w:type="dxa"/>
            <w:vAlign w:val="center"/>
          </w:tcPr>
          <w:p>
            <w:pPr>
              <w:spacing w:line="240" w:lineRule="auto"/>
              <w:ind w:firstLine="0" w:firstLineChars="0"/>
              <w:jc w:val="center"/>
              <w:rPr>
                <w:b/>
                <w:bCs/>
                <w:sz w:val="24"/>
                <w:szCs w:val="21"/>
              </w:rPr>
            </w:pPr>
            <w:r>
              <w:rPr>
                <w:b/>
                <w:bCs/>
                <w:sz w:val="24"/>
                <w:szCs w:val="21"/>
              </w:rPr>
              <w:t>得分</w:t>
            </w:r>
          </w:p>
        </w:tc>
        <w:tc>
          <w:tcPr>
            <w:tcW w:w="1071" w:type="dxa"/>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3" w:type="dxa"/>
            <w:vAlign w:val="center"/>
          </w:tcPr>
          <w:p>
            <w:pPr>
              <w:spacing w:line="240" w:lineRule="auto"/>
              <w:ind w:firstLine="0" w:firstLineChars="0"/>
              <w:rPr>
                <w:sz w:val="24"/>
                <w:szCs w:val="21"/>
              </w:rPr>
            </w:pPr>
            <w:r>
              <w:rPr>
                <w:rFonts w:hint="eastAsia"/>
                <w:sz w:val="24"/>
                <w:szCs w:val="21"/>
              </w:rPr>
              <w:t>中期规划建设完备程度</w:t>
            </w:r>
          </w:p>
        </w:tc>
        <w:tc>
          <w:tcPr>
            <w:tcW w:w="1545" w:type="dxa"/>
            <w:vAlign w:val="center"/>
          </w:tcPr>
          <w:p>
            <w:pPr>
              <w:spacing w:line="240" w:lineRule="auto"/>
              <w:ind w:firstLine="0" w:firstLineChars="0"/>
              <w:jc w:val="center"/>
              <w:rPr>
                <w:sz w:val="24"/>
                <w:szCs w:val="21"/>
              </w:rPr>
            </w:pPr>
            <w:r>
              <w:rPr>
                <w:sz w:val="24"/>
                <w:szCs w:val="21"/>
              </w:rPr>
              <w:t>完备</w:t>
            </w:r>
          </w:p>
        </w:tc>
        <w:tc>
          <w:tcPr>
            <w:tcW w:w="1487" w:type="dxa"/>
            <w:vAlign w:val="center"/>
          </w:tcPr>
          <w:p>
            <w:pPr>
              <w:spacing w:line="240" w:lineRule="auto"/>
              <w:ind w:firstLine="0" w:firstLineChars="0"/>
              <w:jc w:val="center"/>
              <w:rPr>
                <w:sz w:val="24"/>
                <w:szCs w:val="21"/>
              </w:rPr>
            </w:pPr>
            <w:r>
              <w:rPr>
                <w:sz w:val="24"/>
                <w:szCs w:val="21"/>
              </w:rPr>
              <w:t>100%</w:t>
            </w:r>
          </w:p>
        </w:tc>
        <w:tc>
          <w:tcPr>
            <w:tcW w:w="778" w:type="dxa"/>
            <w:vAlign w:val="center"/>
          </w:tcPr>
          <w:p>
            <w:pPr>
              <w:spacing w:line="240" w:lineRule="auto"/>
              <w:ind w:firstLine="0" w:firstLineChars="0"/>
              <w:jc w:val="center"/>
              <w:rPr>
                <w:sz w:val="24"/>
                <w:szCs w:val="21"/>
              </w:rPr>
            </w:pPr>
            <w:r>
              <w:rPr>
                <w:rFonts w:hint="eastAsia"/>
                <w:sz w:val="24"/>
                <w:szCs w:val="21"/>
              </w:rPr>
              <w:t>4</w:t>
            </w:r>
          </w:p>
        </w:tc>
        <w:tc>
          <w:tcPr>
            <w:tcW w:w="782" w:type="dxa"/>
            <w:vAlign w:val="center"/>
          </w:tcPr>
          <w:p>
            <w:pPr>
              <w:spacing w:line="240" w:lineRule="auto"/>
              <w:ind w:firstLine="0" w:firstLineChars="0"/>
              <w:jc w:val="center"/>
              <w:rPr>
                <w:sz w:val="24"/>
                <w:szCs w:val="21"/>
              </w:rPr>
            </w:pPr>
            <w:r>
              <w:rPr>
                <w:rFonts w:hint="eastAsia"/>
                <w:sz w:val="24"/>
                <w:szCs w:val="21"/>
              </w:rPr>
              <w:t>4</w:t>
            </w:r>
          </w:p>
        </w:tc>
        <w:tc>
          <w:tcPr>
            <w:tcW w:w="1071"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3" w:type="dxa"/>
            <w:vAlign w:val="center"/>
          </w:tcPr>
          <w:p>
            <w:pPr>
              <w:spacing w:line="240" w:lineRule="auto"/>
              <w:ind w:firstLine="0" w:firstLineChars="0"/>
              <w:rPr>
                <w:sz w:val="24"/>
                <w:szCs w:val="21"/>
              </w:rPr>
            </w:pPr>
            <w:r>
              <w:rPr>
                <w:rFonts w:hint="eastAsia"/>
                <w:sz w:val="24"/>
                <w:szCs w:val="21"/>
              </w:rPr>
              <w:t>人员培训机制完备性</w:t>
            </w:r>
          </w:p>
        </w:tc>
        <w:tc>
          <w:tcPr>
            <w:tcW w:w="1545" w:type="dxa"/>
            <w:vAlign w:val="center"/>
          </w:tcPr>
          <w:p>
            <w:pPr>
              <w:spacing w:line="240" w:lineRule="auto"/>
              <w:ind w:firstLine="0" w:firstLineChars="0"/>
              <w:jc w:val="center"/>
              <w:rPr>
                <w:sz w:val="24"/>
                <w:szCs w:val="21"/>
              </w:rPr>
            </w:pPr>
            <w:r>
              <w:rPr>
                <w:sz w:val="24"/>
                <w:szCs w:val="21"/>
              </w:rPr>
              <w:t>完备</w:t>
            </w:r>
          </w:p>
        </w:tc>
        <w:tc>
          <w:tcPr>
            <w:tcW w:w="1487" w:type="dxa"/>
            <w:vAlign w:val="center"/>
          </w:tcPr>
          <w:p>
            <w:pPr>
              <w:spacing w:line="240" w:lineRule="auto"/>
              <w:ind w:firstLine="0" w:firstLineChars="0"/>
              <w:jc w:val="center"/>
              <w:rPr>
                <w:sz w:val="24"/>
                <w:szCs w:val="21"/>
              </w:rPr>
            </w:pPr>
            <w:r>
              <w:rPr>
                <w:sz w:val="24"/>
                <w:szCs w:val="21"/>
              </w:rPr>
              <w:t>100%</w:t>
            </w:r>
          </w:p>
        </w:tc>
        <w:tc>
          <w:tcPr>
            <w:tcW w:w="778" w:type="dxa"/>
            <w:vAlign w:val="center"/>
          </w:tcPr>
          <w:p>
            <w:pPr>
              <w:spacing w:line="240" w:lineRule="auto"/>
              <w:ind w:firstLine="0" w:firstLineChars="0"/>
              <w:jc w:val="center"/>
              <w:rPr>
                <w:sz w:val="24"/>
                <w:szCs w:val="21"/>
              </w:rPr>
            </w:pPr>
            <w:r>
              <w:rPr>
                <w:sz w:val="24"/>
                <w:szCs w:val="21"/>
              </w:rPr>
              <w:t>3</w:t>
            </w:r>
          </w:p>
        </w:tc>
        <w:tc>
          <w:tcPr>
            <w:tcW w:w="782" w:type="dxa"/>
            <w:vAlign w:val="center"/>
          </w:tcPr>
          <w:p>
            <w:pPr>
              <w:spacing w:line="240" w:lineRule="auto"/>
              <w:ind w:firstLine="0" w:firstLineChars="0"/>
              <w:jc w:val="center"/>
              <w:rPr>
                <w:sz w:val="24"/>
                <w:szCs w:val="21"/>
              </w:rPr>
            </w:pPr>
            <w:r>
              <w:rPr>
                <w:sz w:val="24"/>
                <w:szCs w:val="21"/>
              </w:rPr>
              <w:t>3</w:t>
            </w:r>
          </w:p>
        </w:tc>
        <w:tc>
          <w:tcPr>
            <w:tcW w:w="1071"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3" w:type="dxa"/>
            <w:vAlign w:val="center"/>
          </w:tcPr>
          <w:p>
            <w:pPr>
              <w:spacing w:line="240" w:lineRule="auto"/>
              <w:ind w:firstLine="0" w:firstLineChars="0"/>
              <w:rPr>
                <w:sz w:val="24"/>
                <w:szCs w:val="21"/>
              </w:rPr>
            </w:pPr>
            <w:r>
              <w:rPr>
                <w:rFonts w:hint="eastAsia"/>
                <w:sz w:val="24"/>
                <w:szCs w:val="21"/>
              </w:rPr>
              <w:t>档案管理完备性</w:t>
            </w:r>
          </w:p>
        </w:tc>
        <w:tc>
          <w:tcPr>
            <w:tcW w:w="1545" w:type="dxa"/>
            <w:vAlign w:val="center"/>
          </w:tcPr>
          <w:p>
            <w:pPr>
              <w:spacing w:line="240" w:lineRule="auto"/>
              <w:ind w:firstLine="0" w:firstLineChars="0"/>
              <w:jc w:val="center"/>
              <w:rPr>
                <w:sz w:val="24"/>
                <w:szCs w:val="21"/>
              </w:rPr>
            </w:pPr>
            <w:r>
              <w:rPr>
                <w:sz w:val="24"/>
                <w:szCs w:val="21"/>
              </w:rPr>
              <w:t>完备</w:t>
            </w:r>
          </w:p>
        </w:tc>
        <w:tc>
          <w:tcPr>
            <w:tcW w:w="1487" w:type="dxa"/>
            <w:vAlign w:val="center"/>
          </w:tcPr>
          <w:p>
            <w:pPr>
              <w:spacing w:line="240" w:lineRule="auto"/>
              <w:ind w:firstLine="0" w:firstLineChars="0"/>
              <w:jc w:val="center"/>
              <w:rPr>
                <w:sz w:val="24"/>
                <w:szCs w:val="21"/>
              </w:rPr>
            </w:pPr>
            <w:r>
              <w:rPr>
                <w:sz w:val="24"/>
                <w:szCs w:val="21"/>
              </w:rPr>
              <w:t>100%</w:t>
            </w:r>
          </w:p>
        </w:tc>
        <w:tc>
          <w:tcPr>
            <w:tcW w:w="778" w:type="dxa"/>
            <w:vAlign w:val="center"/>
          </w:tcPr>
          <w:p>
            <w:pPr>
              <w:spacing w:line="240" w:lineRule="auto"/>
              <w:ind w:firstLine="0" w:firstLineChars="0"/>
              <w:jc w:val="center"/>
              <w:rPr>
                <w:sz w:val="24"/>
                <w:szCs w:val="21"/>
              </w:rPr>
            </w:pPr>
            <w:r>
              <w:rPr>
                <w:sz w:val="24"/>
                <w:szCs w:val="21"/>
              </w:rPr>
              <w:t>3</w:t>
            </w:r>
          </w:p>
        </w:tc>
        <w:tc>
          <w:tcPr>
            <w:tcW w:w="782" w:type="dxa"/>
            <w:vAlign w:val="center"/>
          </w:tcPr>
          <w:p>
            <w:pPr>
              <w:spacing w:line="240" w:lineRule="auto"/>
              <w:ind w:firstLine="0" w:firstLineChars="0"/>
              <w:jc w:val="center"/>
              <w:rPr>
                <w:sz w:val="24"/>
                <w:szCs w:val="21"/>
              </w:rPr>
            </w:pPr>
            <w:r>
              <w:rPr>
                <w:sz w:val="24"/>
                <w:szCs w:val="21"/>
              </w:rPr>
              <w:t>3</w:t>
            </w:r>
          </w:p>
        </w:tc>
        <w:tc>
          <w:tcPr>
            <w:tcW w:w="1071" w:type="dxa"/>
            <w:vAlign w:val="center"/>
          </w:tcPr>
          <w:p>
            <w:pPr>
              <w:spacing w:line="240" w:lineRule="auto"/>
              <w:ind w:firstLine="0" w:firstLineChars="0"/>
              <w:jc w:val="center"/>
              <w:rPr>
                <w:sz w:val="24"/>
                <w:szCs w:val="21"/>
              </w:rPr>
            </w:pPr>
            <w:r>
              <w:rPr>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5" w:type="dxa"/>
            <w:gridSpan w:val="3"/>
            <w:vAlign w:val="center"/>
          </w:tcPr>
          <w:p>
            <w:pPr>
              <w:spacing w:line="240" w:lineRule="auto"/>
              <w:ind w:firstLine="0" w:firstLineChars="0"/>
              <w:jc w:val="center"/>
              <w:rPr>
                <w:b/>
                <w:bCs/>
                <w:sz w:val="24"/>
                <w:szCs w:val="21"/>
              </w:rPr>
            </w:pPr>
            <w:r>
              <w:rPr>
                <w:rFonts w:hint="eastAsia"/>
                <w:b/>
                <w:bCs/>
                <w:sz w:val="24"/>
                <w:szCs w:val="21"/>
              </w:rPr>
              <w:t>合计</w:t>
            </w:r>
          </w:p>
        </w:tc>
        <w:tc>
          <w:tcPr>
            <w:tcW w:w="778" w:type="dxa"/>
            <w:vAlign w:val="center"/>
          </w:tcPr>
          <w:p>
            <w:pPr>
              <w:spacing w:line="240" w:lineRule="auto"/>
              <w:ind w:firstLine="0" w:firstLineChars="0"/>
              <w:jc w:val="center"/>
              <w:rPr>
                <w:b/>
                <w:bCs/>
                <w:sz w:val="24"/>
                <w:szCs w:val="21"/>
              </w:rPr>
            </w:pPr>
            <w:r>
              <w:rPr>
                <w:rFonts w:hint="eastAsia"/>
                <w:b/>
                <w:bCs/>
                <w:sz w:val="24"/>
                <w:szCs w:val="21"/>
              </w:rPr>
              <w:t>10</w:t>
            </w:r>
          </w:p>
        </w:tc>
        <w:tc>
          <w:tcPr>
            <w:tcW w:w="782" w:type="dxa"/>
            <w:vAlign w:val="center"/>
          </w:tcPr>
          <w:p>
            <w:pPr>
              <w:spacing w:line="240" w:lineRule="auto"/>
              <w:ind w:firstLine="0" w:firstLineChars="0"/>
              <w:jc w:val="center"/>
              <w:rPr>
                <w:b/>
                <w:bCs/>
                <w:sz w:val="24"/>
                <w:szCs w:val="21"/>
              </w:rPr>
            </w:pPr>
            <w:r>
              <w:rPr>
                <w:rFonts w:hint="eastAsia"/>
                <w:b/>
                <w:bCs/>
                <w:sz w:val="24"/>
                <w:szCs w:val="21"/>
              </w:rPr>
              <w:t>10</w:t>
            </w:r>
          </w:p>
        </w:tc>
        <w:tc>
          <w:tcPr>
            <w:tcW w:w="1071" w:type="dxa"/>
            <w:vAlign w:val="center"/>
          </w:tcPr>
          <w:p>
            <w:pPr>
              <w:spacing w:line="240" w:lineRule="auto"/>
              <w:ind w:firstLine="0" w:firstLineChars="0"/>
              <w:jc w:val="center"/>
              <w:rPr>
                <w:b/>
                <w:bCs/>
                <w:sz w:val="24"/>
                <w:szCs w:val="21"/>
              </w:rPr>
            </w:pPr>
            <w:r>
              <w:rPr>
                <w:b/>
                <w:bCs/>
                <w:sz w:val="24"/>
                <w:szCs w:val="21"/>
              </w:rPr>
              <w:t>100%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中期规划建设完备程度：</w:t>
      </w:r>
      <w:r>
        <w:rPr>
          <w:rFonts w:hint="eastAsia" w:hAnsi="宋体"/>
          <w:szCs w:val="28"/>
        </w:rPr>
        <w:t>为深化文化体制改革，我部编制“十四五”文化体制改革发展规划，计划完成改革任务14项，分类推进省属国有文化企业改革，完善内部考核和薪酬管理办法，我部紧密结合当地实际，聚焦破解难点和短板，突出创新和特色，进一步细化实化政策措施，明确任务分工、时间进度和保障措施，细化完善政策措施，确保各项工作有序推进、按期完成。中期规划目标明确，可行性高。指标分值4分，自评得分4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b/>
          <w:bCs/>
        </w:rPr>
        <w:t>人员培训机制完备性：</w:t>
      </w:r>
      <w:r>
        <w:rPr>
          <w:rFonts w:hint="eastAsia" w:hAnsi="宋体"/>
          <w:szCs w:val="28"/>
        </w:rPr>
        <w:t>我部坚持公平公正竞争择优原则选拔人才，通过建立人才培养长效机制，树立正确导向，激发职工积极性，积极鼓励和支持工作人员参加业务培训，加大技术人才培养力度，积极开展相关人员培训工作，以完备的培训机制来促进人员能力的提升，保障部门整体工作的有效开展。指标分值3分，按评分标准得3分，得分率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档案管理完备性：</w:t>
      </w:r>
      <w:r>
        <w:rPr>
          <w:rFonts w:hint="eastAsia" w:hAnsi="宋体"/>
          <w:szCs w:val="28"/>
        </w:rPr>
        <w:t>针对各项工作的开展，我部严格按照相关档案管理制度，进行档案综合管理。组织管理到位，并规范制定了相关制度和规程；相关配套设施方面，信息化建设与维护及时。实际工作中对各类文件、资料进行整理、汇总、归纳，尤其对工程竣工验收所需的材料进行整理，认真归档，专人管理，分类存档，长期保存，确保档案的完整性和连续性，为各项人社工作顺利完成奠定基础。指标分值3分，自评得分3分，得分率为100%。</w:t>
      </w:r>
    </w:p>
    <w:p>
      <w:pPr>
        <w:pStyle w:val="4"/>
        <w:ind w:firstLine="562"/>
      </w:pPr>
      <w:bookmarkStart w:id="52" w:name="_Toc64819705"/>
      <w:r>
        <w:rPr>
          <w:rFonts w:hint="eastAsia"/>
        </w:rPr>
        <w:t>5、服务对象满意度</w:t>
      </w:r>
      <w:bookmarkEnd w:id="52"/>
    </w:p>
    <w:p>
      <w:pPr>
        <w:ind w:firstLine="560"/>
      </w:pPr>
      <w:r>
        <w:rPr>
          <w:rFonts w:hint="eastAsia" w:hAnsi="宋体"/>
          <w:szCs w:val="28"/>
        </w:rPr>
        <w:t>根据《2021年中共甘肃省委宣传部部门整体支出绩效自评表》，一级指标服务对象满意度下设2个三级指标，指标权重10分，自评得分10分，得分率为100%。</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0"/>
        <w:gridCol w:w="1605"/>
        <w:gridCol w:w="1425"/>
        <w:gridCol w:w="765"/>
        <w:gridCol w:w="73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900" w:type="dxa"/>
            <w:vAlign w:val="center"/>
          </w:tcPr>
          <w:p>
            <w:pPr>
              <w:spacing w:line="240" w:lineRule="auto"/>
              <w:ind w:firstLine="0" w:firstLineChars="0"/>
              <w:jc w:val="center"/>
              <w:rPr>
                <w:b/>
                <w:bCs/>
                <w:sz w:val="24"/>
                <w:szCs w:val="21"/>
              </w:rPr>
            </w:pPr>
            <w:r>
              <w:rPr>
                <w:rFonts w:hint="eastAsia"/>
                <w:b/>
                <w:bCs/>
                <w:sz w:val="24"/>
                <w:szCs w:val="21"/>
              </w:rPr>
              <w:t>三级指标</w:t>
            </w:r>
          </w:p>
        </w:tc>
        <w:tc>
          <w:tcPr>
            <w:tcW w:w="1605" w:type="dxa"/>
            <w:vAlign w:val="center"/>
          </w:tcPr>
          <w:p>
            <w:pPr>
              <w:spacing w:line="240" w:lineRule="auto"/>
              <w:ind w:firstLine="0" w:firstLineChars="0"/>
              <w:jc w:val="center"/>
              <w:rPr>
                <w:b/>
                <w:bCs/>
                <w:sz w:val="24"/>
                <w:szCs w:val="21"/>
              </w:rPr>
            </w:pPr>
            <w:r>
              <w:rPr>
                <w:b/>
                <w:bCs/>
                <w:sz w:val="24"/>
                <w:szCs w:val="21"/>
              </w:rPr>
              <w:t>年度目标值</w:t>
            </w:r>
          </w:p>
        </w:tc>
        <w:tc>
          <w:tcPr>
            <w:tcW w:w="1425" w:type="dxa"/>
            <w:vAlign w:val="center"/>
          </w:tcPr>
          <w:p>
            <w:pPr>
              <w:spacing w:line="240" w:lineRule="auto"/>
              <w:ind w:firstLine="0" w:firstLineChars="0"/>
              <w:jc w:val="center"/>
              <w:rPr>
                <w:b/>
                <w:bCs/>
                <w:sz w:val="24"/>
                <w:szCs w:val="21"/>
              </w:rPr>
            </w:pPr>
            <w:r>
              <w:rPr>
                <w:b/>
                <w:bCs/>
                <w:sz w:val="24"/>
                <w:szCs w:val="21"/>
              </w:rPr>
              <w:t>实际完成值</w:t>
            </w:r>
          </w:p>
        </w:tc>
        <w:tc>
          <w:tcPr>
            <w:tcW w:w="765" w:type="dxa"/>
            <w:vAlign w:val="center"/>
          </w:tcPr>
          <w:p>
            <w:pPr>
              <w:spacing w:line="240" w:lineRule="auto"/>
              <w:ind w:firstLine="0" w:firstLineChars="0"/>
              <w:jc w:val="center"/>
              <w:rPr>
                <w:b/>
                <w:bCs/>
                <w:sz w:val="24"/>
                <w:szCs w:val="21"/>
              </w:rPr>
            </w:pPr>
            <w:r>
              <w:rPr>
                <w:b/>
                <w:bCs/>
                <w:sz w:val="24"/>
                <w:szCs w:val="21"/>
              </w:rPr>
              <w:t>分值</w:t>
            </w:r>
          </w:p>
        </w:tc>
        <w:tc>
          <w:tcPr>
            <w:tcW w:w="735" w:type="dxa"/>
            <w:vAlign w:val="center"/>
          </w:tcPr>
          <w:p>
            <w:pPr>
              <w:spacing w:line="240" w:lineRule="auto"/>
              <w:ind w:firstLine="0" w:firstLineChars="0"/>
              <w:jc w:val="center"/>
              <w:rPr>
                <w:b/>
                <w:bCs/>
                <w:sz w:val="24"/>
                <w:szCs w:val="21"/>
              </w:rPr>
            </w:pPr>
            <w:r>
              <w:rPr>
                <w:b/>
                <w:bCs/>
                <w:sz w:val="24"/>
                <w:szCs w:val="21"/>
              </w:rPr>
              <w:t>得分</w:t>
            </w:r>
          </w:p>
        </w:tc>
        <w:tc>
          <w:tcPr>
            <w:tcW w:w="973" w:type="dxa"/>
            <w:vAlign w:val="center"/>
          </w:tcPr>
          <w:p>
            <w:pPr>
              <w:spacing w:line="240" w:lineRule="auto"/>
              <w:ind w:firstLine="0" w:firstLineChars="0"/>
              <w:jc w:val="center"/>
              <w:rPr>
                <w:b/>
                <w:bCs/>
                <w:sz w:val="24"/>
                <w:szCs w:val="21"/>
              </w:rPr>
            </w:pPr>
            <w:r>
              <w:rPr>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0" w:type="dxa"/>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党员满意度</w:t>
            </w:r>
          </w:p>
        </w:tc>
        <w:tc>
          <w:tcPr>
            <w:tcW w:w="1605" w:type="dxa"/>
            <w:vAlign w:val="center"/>
          </w:tcPr>
          <w:p>
            <w:pPr>
              <w:widowControl/>
              <w:spacing w:line="240" w:lineRule="auto"/>
              <w:ind w:firstLine="0" w:firstLineChars="0"/>
              <w:jc w:val="center"/>
              <w:rPr>
                <w:rFonts w:ascii="宋体" w:hAnsi="宋体" w:eastAsia="宋体"/>
                <w:color w:val="000000"/>
                <w:kern w:val="0"/>
                <w:sz w:val="24"/>
                <w:szCs w:val="24"/>
              </w:rPr>
            </w:pPr>
            <w:r>
              <w:rPr>
                <w:rFonts w:hint="eastAsia"/>
                <w:color w:val="000000"/>
                <w:sz w:val="24"/>
                <w:szCs w:val="24"/>
              </w:rPr>
              <w:t>≥90%</w:t>
            </w:r>
          </w:p>
        </w:tc>
        <w:tc>
          <w:tcPr>
            <w:tcW w:w="1425" w:type="dxa"/>
            <w:vAlign w:val="center"/>
          </w:tcPr>
          <w:p>
            <w:pPr>
              <w:widowControl/>
              <w:spacing w:line="240" w:lineRule="auto"/>
              <w:ind w:firstLine="0" w:firstLineChars="0"/>
              <w:jc w:val="center"/>
              <w:rPr>
                <w:color w:val="000000"/>
                <w:sz w:val="24"/>
                <w:szCs w:val="24"/>
              </w:rPr>
            </w:pPr>
            <w:r>
              <w:rPr>
                <w:rFonts w:hint="eastAsia"/>
                <w:color w:val="000000"/>
                <w:sz w:val="24"/>
                <w:szCs w:val="24"/>
              </w:rPr>
              <w:t>97%</w:t>
            </w:r>
          </w:p>
        </w:tc>
        <w:tc>
          <w:tcPr>
            <w:tcW w:w="765" w:type="dxa"/>
            <w:vAlign w:val="center"/>
          </w:tcPr>
          <w:p>
            <w:pPr>
              <w:widowControl/>
              <w:spacing w:line="240" w:lineRule="auto"/>
              <w:ind w:firstLine="0" w:firstLineChars="0"/>
              <w:jc w:val="center"/>
              <w:rPr>
                <w:color w:val="000000"/>
                <w:sz w:val="24"/>
                <w:szCs w:val="24"/>
              </w:rPr>
            </w:pPr>
            <w:r>
              <w:rPr>
                <w:rFonts w:hint="eastAsia"/>
                <w:color w:val="000000"/>
                <w:sz w:val="24"/>
                <w:szCs w:val="24"/>
              </w:rPr>
              <w:t>5</w:t>
            </w:r>
          </w:p>
        </w:tc>
        <w:tc>
          <w:tcPr>
            <w:tcW w:w="735" w:type="dxa"/>
            <w:vAlign w:val="center"/>
          </w:tcPr>
          <w:p>
            <w:pPr>
              <w:widowControl/>
              <w:spacing w:line="240" w:lineRule="auto"/>
              <w:ind w:firstLine="0" w:firstLineChars="0"/>
              <w:jc w:val="center"/>
              <w:rPr>
                <w:color w:val="000000"/>
                <w:sz w:val="24"/>
                <w:szCs w:val="24"/>
              </w:rPr>
            </w:pPr>
            <w:r>
              <w:rPr>
                <w:rFonts w:hint="eastAsia"/>
                <w:color w:val="000000"/>
                <w:sz w:val="24"/>
                <w:szCs w:val="24"/>
              </w:rPr>
              <w:t>5</w:t>
            </w:r>
          </w:p>
        </w:tc>
        <w:tc>
          <w:tcPr>
            <w:tcW w:w="973" w:type="dxa"/>
            <w:vAlign w:val="center"/>
          </w:tcPr>
          <w:p>
            <w:pPr>
              <w:widowControl/>
              <w:spacing w:line="240" w:lineRule="auto"/>
              <w:ind w:firstLine="0" w:firstLineChars="0"/>
              <w:jc w:val="center"/>
              <w:rPr>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0" w:type="dxa"/>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群众满意度</w:t>
            </w:r>
          </w:p>
        </w:tc>
        <w:tc>
          <w:tcPr>
            <w:tcW w:w="1605" w:type="dxa"/>
            <w:vAlign w:val="center"/>
          </w:tcPr>
          <w:p>
            <w:pPr>
              <w:widowControl/>
              <w:spacing w:line="240" w:lineRule="auto"/>
              <w:ind w:firstLine="0" w:firstLineChars="0"/>
              <w:jc w:val="center"/>
              <w:rPr>
                <w:color w:val="000000"/>
                <w:sz w:val="24"/>
                <w:szCs w:val="24"/>
              </w:rPr>
            </w:pPr>
            <w:r>
              <w:rPr>
                <w:rFonts w:hint="eastAsia"/>
                <w:color w:val="000000"/>
                <w:sz w:val="24"/>
                <w:szCs w:val="24"/>
              </w:rPr>
              <w:t>≥90%</w:t>
            </w:r>
          </w:p>
        </w:tc>
        <w:tc>
          <w:tcPr>
            <w:tcW w:w="1425" w:type="dxa"/>
            <w:vAlign w:val="center"/>
          </w:tcPr>
          <w:p>
            <w:pPr>
              <w:widowControl/>
              <w:spacing w:line="240" w:lineRule="auto"/>
              <w:ind w:firstLine="0" w:firstLineChars="0"/>
              <w:jc w:val="center"/>
              <w:rPr>
                <w:color w:val="000000"/>
                <w:sz w:val="24"/>
                <w:szCs w:val="24"/>
              </w:rPr>
            </w:pPr>
            <w:r>
              <w:rPr>
                <w:rFonts w:hint="eastAsia"/>
                <w:color w:val="000000"/>
                <w:sz w:val="24"/>
                <w:szCs w:val="24"/>
              </w:rPr>
              <w:t>95%</w:t>
            </w:r>
          </w:p>
        </w:tc>
        <w:tc>
          <w:tcPr>
            <w:tcW w:w="765" w:type="dxa"/>
            <w:vAlign w:val="center"/>
          </w:tcPr>
          <w:p>
            <w:pPr>
              <w:widowControl/>
              <w:spacing w:line="240" w:lineRule="auto"/>
              <w:ind w:firstLine="0" w:firstLineChars="0"/>
              <w:jc w:val="center"/>
              <w:rPr>
                <w:color w:val="000000"/>
                <w:sz w:val="24"/>
                <w:szCs w:val="24"/>
              </w:rPr>
            </w:pPr>
            <w:r>
              <w:rPr>
                <w:rFonts w:hint="eastAsia"/>
                <w:color w:val="000000"/>
                <w:sz w:val="24"/>
                <w:szCs w:val="24"/>
              </w:rPr>
              <w:t>5</w:t>
            </w:r>
          </w:p>
        </w:tc>
        <w:tc>
          <w:tcPr>
            <w:tcW w:w="735" w:type="dxa"/>
            <w:vAlign w:val="center"/>
          </w:tcPr>
          <w:p>
            <w:pPr>
              <w:widowControl/>
              <w:spacing w:line="240" w:lineRule="auto"/>
              <w:ind w:firstLine="0" w:firstLineChars="0"/>
              <w:jc w:val="center"/>
              <w:rPr>
                <w:color w:val="000000"/>
                <w:sz w:val="24"/>
                <w:szCs w:val="24"/>
              </w:rPr>
            </w:pPr>
            <w:r>
              <w:rPr>
                <w:rFonts w:hint="eastAsia"/>
                <w:color w:val="000000"/>
                <w:sz w:val="24"/>
                <w:szCs w:val="24"/>
              </w:rPr>
              <w:t>5</w:t>
            </w:r>
          </w:p>
        </w:tc>
        <w:tc>
          <w:tcPr>
            <w:tcW w:w="973" w:type="dxa"/>
            <w:vAlign w:val="center"/>
          </w:tcPr>
          <w:p>
            <w:pPr>
              <w:widowControl/>
              <w:spacing w:line="240" w:lineRule="auto"/>
              <w:ind w:firstLine="0" w:firstLineChars="0"/>
              <w:jc w:val="center"/>
              <w:rPr>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0" w:type="dxa"/>
            <w:gridSpan w:val="3"/>
            <w:vAlign w:val="center"/>
          </w:tcPr>
          <w:p>
            <w:pPr>
              <w:spacing w:line="240" w:lineRule="auto"/>
              <w:ind w:firstLine="0" w:firstLineChars="0"/>
              <w:jc w:val="center"/>
              <w:rPr>
                <w:b/>
                <w:color w:val="000000"/>
                <w:sz w:val="24"/>
                <w:szCs w:val="24"/>
              </w:rPr>
            </w:pPr>
            <w:r>
              <w:rPr>
                <w:rFonts w:hint="eastAsia"/>
                <w:b/>
                <w:color w:val="000000"/>
                <w:sz w:val="24"/>
                <w:szCs w:val="24"/>
              </w:rPr>
              <w:t>合计</w:t>
            </w:r>
          </w:p>
        </w:tc>
        <w:tc>
          <w:tcPr>
            <w:tcW w:w="765" w:type="dxa"/>
            <w:vAlign w:val="center"/>
          </w:tcPr>
          <w:p>
            <w:pPr>
              <w:widowControl/>
              <w:spacing w:line="240" w:lineRule="auto"/>
              <w:ind w:firstLine="0" w:firstLineChars="0"/>
              <w:jc w:val="center"/>
              <w:rPr>
                <w:rFonts w:cs="仿宋_GB2312"/>
                <w:b/>
                <w:color w:val="000000"/>
                <w:kern w:val="0"/>
                <w:sz w:val="24"/>
                <w:szCs w:val="24"/>
              </w:rPr>
            </w:pPr>
            <w:r>
              <w:rPr>
                <w:rFonts w:hint="eastAsia" w:cs="仿宋_GB2312"/>
                <w:b/>
                <w:color w:val="000000"/>
                <w:kern w:val="0"/>
                <w:sz w:val="24"/>
                <w:szCs w:val="24"/>
              </w:rPr>
              <w:t>10</w:t>
            </w:r>
          </w:p>
        </w:tc>
        <w:tc>
          <w:tcPr>
            <w:tcW w:w="735" w:type="dxa"/>
            <w:vAlign w:val="center"/>
          </w:tcPr>
          <w:p>
            <w:pPr>
              <w:spacing w:line="240" w:lineRule="auto"/>
              <w:ind w:firstLine="0" w:firstLineChars="0"/>
              <w:jc w:val="center"/>
              <w:rPr>
                <w:rFonts w:cs="仿宋_GB2312"/>
                <w:b/>
                <w:color w:val="333333"/>
                <w:sz w:val="24"/>
                <w:szCs w:val="24"/>
              </w:rPr>
            </w:pPr>
            <w:r>
              <w:rPr>
                <w:rFonts w:hint="eastAsia" w:cs="仿宋_GB2312"/>
                <w:b/>
                <w:color w:val="333333"/>
                <w:sz w:val="24"/>
                <w:szCs w:val="24"/>
              </w:rPr>
              <w:t>10</w:t>
            </w:r>
          </w:p>
        </w:tc>
        <w:tc>
          <w:tcPr>
            <w:tcW w:w="973" w:type="dxa"/>
            <w:vAlign w:val="center"/>
          </w:tcPr>
          <w:p>
            <w:pPr>
              <w:spacing w:line="240" w:lineRule="auto"/>
              <w:ind w:firstLine="0" w:firstLineChars="0"/>
              <w:jc w:val="center"/>
              <w:rPr>
                <w:rFonts w:cs="仿宋_GB2312"/>
                <w:b/>
                <w:color w:val="000000"/>
                <w:sz w:val="24"/>
                <w:szCs w:val="24"/>
              </w:rPr>
            </w:pPr>
            <w:r>
              <w:rPr>
                <w:rFonts w:hint="eastAsia" w:cs="仿宋_GB2312"/>
                <w:b/>
                <w:color w:val="000000"/>
                <w:sz w:val="24"/>
                <w:szCs w:val="24"/>
              </w:rPr>
              <w:t>100%</w:t>
            </w:r>
          </w:p>
        </w:tc>
      </w:tr>
    </w:tbl>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ascii="宋体" w:hAnsi="宋体"/>
          <w:b/>
          <w:bCs/>
          <w:color w:val="000000"/>
        </w:rPr>
        <w:t>党员满意度：</w:t>
      </w:r>
      <w:r>
        <w:rPr>
          <w:rFonts w:hint="eastAsia" w:cs="仿宋_GB2312"/>
          <w:color w:val="000000"/>
        </w:rPr>
        <w:t>2021年</w:t>
      </w:r>
      <w:r>
        <w:rPr>
          <w:rFonts w:hint="eastAsia" w:cs="仿宋_GB2312"/>
        </w:rPr>
        <w:t>我部加强对党员群众思想工作的宣传，使全省广大党员干部群众及时了解掌握中央和省委的重大决策部署以及党的理论创新成果，提高了全省广大党员干部群众的理论水平和形势政策水平，获得了较高的党员干部群众认可度和满意度，</w:t>
      </w:r>
      <w:r>
        <w:rPr>
          <w:rFonts w:hint="eastAsia"/>
        </w:rPr>
        <w:t>党员满意度为97%，达到了预期目标值。指标分值5分，按评分标准得5分，得分率100%。</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b/>
          <w:bCs/>
        </w:rPr>
        <w:t>群众满意度：</w:t>
      </w:r>
      <w:r>
        <w:rPr>
          <w:rFonts w:hint="eastAsia"/>
        </w:rPr>
        <w:t>2021年我部坚持稳中求进、守正创新、担当作为，全省宣传思想文化各项工作取得新进展新成效，为努力谱写加快建设幸福美好新甘肃、不断开创富民兴陇新局面时代篇章提供了坚强思想保证和强大精神力量，得到了人民群众较为广泛的认同，群众满意度为95%，达到了预期目标值。指标分值5分，按评分标准得5分，得分率100%。</w:t>
      </w:r>
    </w:p>
    <w:p>
      <w:pPr>
        <w:pStyle w:val="3"/>
        <w:ind w:firstLine="643"/>
      </w:pPr>
      <w:bookmarkStart w:id="53" w:name="_Toc11480"/>
      <w:bookmarkStart w:id="54" w:name="_Toc24905"/>
      <w:r>
        <w:rPr>
          <w:rFonts w:hint="eastAsia"/>
        </w:rPr>
        <w:t>（四）偏离绩效目标的原因及下一步改进措施</w:t>
      </w:r>
      <w:bookmarkEnd w:id="53"/>
      <w:bookmarkEnd w:id="54"/>
    </w:p>
    <w:p>
      <w:pPr>
        <w:pStyle w:val="4"/>
        <w:ind w:firstLine="562"/>
      </w:pPr>
      <w:r>
        <w:rPr>
          <w:rFonts w:hint="eastAsia"/>
        </w:rPr>
        <w:t>1、《文明家庭风采》印制和编印学习辅导材料</w:t>
      </w:r>
    </w:p>
    <w:p>
      <w:pPr>
        <w:ind w:firstLine="560"/>
      </w:pPr>
      <w:r>
        <w:rPr>
          <w:rFonts w:hint="eastAsia"/>
        </w:rPr>
        <w:t>2021年</w:t>
      </w:r>
      <w:r>
        <w:rPr>
          <w:rFonts w:hint="eastAsia" w:hAnsi="宋体"/>
          <w:szCs w:val="28"/>
        </w:rPr>
        <w:t>我部印制</w:t>
      </w:r>
      <w:r>
        <w:rPr>
          <w:rFonts w:hint="eastAsia"/>
        </w:rPr>
        <w:t>《文明家庭风采》500册，编印学习辅导材料0.5万册，未达到目标值，但已满足工作所需。下一年度我部将根据工作所需合理规划工作任务，科学、合理的设置年度指标值。</w:t>
      </w:r>
    </w:p>
    <w:p>
      <w:pPr>
        <w:pStyle w:val="4"/>
        <w:ind w:firstLine="562"/>
      </w:pPr>
      <w:r>
        <w:rPr>
          <w:rFonts w:hint="eastAsia"/>
        </w:rPr>
        <w:t>2、部分指标年度指标值设置不合理</w:t>
      </w:r>
    </w:p>
    <w:p>
      <w:pPr>
        <w:ind w:firstLine="560"/>
      </w:pPr>
      <w:r>
        <w:rPr>
          <w:rFonts w:hint="eastAsia"/>
        </w:rPr>
        <w:t>指标</w:t>
      </w:r>
      <w:r>
        <w:t>“三公经费”控制率</w:t>
      </w:r>
      <w:r>
        <w:rPr>
          <w:rFonts w:hint="eastAsia"/>
        </w:rPr>
        <w:t>、结转结余变动率、在职人员控制率的年度指标值设置不合理，应将“三公经费”控制率年度指标值设置为“≤100%”，结转结余变动率年度指标值设置为“≤0%”，在职人员控制率年度指标值设置为“≤100%”，下一年度我部将加强预算绩效管理，科学、合理的设置年度指标值。</w:t>
      </w:r>
    </w:p>
    <w:p>
      <w:pPr>
        <w:pStyle w:val="2"/>
      </w:pPr>
      <w:bookmarkStart w:id="55" w:name="_Toc18976"/>
      <w:bookmarkStart w:id="56" w:name="_Toc8078"/>
      <w:bookmarkStart w:id="57" w:name="_Toc2228"/>
      <w:r>
        <w:rPr>
          <w:rFonts w:hint="eastAsia"/>
        </w:rPr>
        <w:t>四、部门预算项目支出绩效自评情况分析</w:t>
      </w:r>
      <w:bookmarkEnd w:id="55"/>
      <w:bookmarkEnd w:id="56"/>
      <w:bookmarkEnd w:id="57"/>
    </w:p>
    <w:p>
      <w:pPr>
        <w:ind w:firstLine="560"/>
        <w:rPr>
          <w:rFonts w:hAnsi="宋体"/>
          <w:szCs w:val="28"/>
        </w:rPr>
      </w:pPr>
      <w:bookmarkStart w:id="58" w:name="_Toc9737"/>
      <w:r>
        <w:rPr>
          <w:rFonts w:hint="eastAsia" w:hAnsi="宋体"/>
          <w:szCs w:val="28"/>
        </w:rPr>
        <w:t>2021年，本</w:t>
      </w:r>
      <w:r>
        <w:rPr>
          <w:rFonts w:hAnsi="宋体"/>
          <w:szCs w:val="28"/>
        </w:rPr>
        <w:t>部门预算支出项目为</w:t>
      </w:r>
      <w:r>
        <w:rPr>
          <w:rFonts w:hint="eastAsia" w:hAnsi="宋体"/>
          <w:szCs w:val="28"/>
        </w:rPr>
        <w:t>26个</w:t>
      </w:r>
      <w:r>
        <w:rPr>
          <w:rFonts w:hAnsi="宋体"/>
          <w:szCs w:val="28"/>
        </w:rPr>
        <w:t>，通过目评，</w:t>
      </w:r>
      <w:r>
        <w:rPr>
          <w:rFonts w:hint="eastAsia" w:hAnsi="宋体"/>
          <w:szCs w:val="28"/>
        </w:rPr>
        <w:t>2</w:t>
      </w:r>
      <w:r>
        <w:rPr>
          <w:rFonts w:hint="eastAsia" w:hAnsi="宋体"/>
          <w:szCs w:val="28"/>
          <w:lang w:val="en-US" w:eastAsia="zh-CN"/>
        </w:rPr>
        <w:t>3</w:t>
      </w:r>
      <w:r>
        <w:rPr>
          <w:rFonts w:hAnsi="宋体"/>
          <w:szCs w:val="28"/>
        </w:rPr>
        <w:t>个项目</w:t>
      </w:r>
      <w:r>
        <w:rPr>
          <w:rFonts w:hint="eastAsia" w:hAnsi="宋体"/>
          <w:szCs w:val="28"/>
        </w:rPr>
        <w:t>自评</w:t>
      </w:r>
      <w:r>
        <w:rPr>
          <w:rFonts w:hAnsi="宋体"/>
          <w:szCs w:val="28"/>
        </w:rPr>
        <w:t>结果</w:t>
      </w:r>
      <w:r>
        <w:rPr>
          <w:rFonts w:hint="eastAsia" w:hAnsi="宋体"/>
          <w:szCs w:val="28"/>
        </w:rPr>
        <w:t>均</w:t>
      </w:r>
      <w:r>
        <w:rPr>
          <w:rFonts w:hAnsi="宋体"/>
          <w:szCs w:val="28"/>
        </w:rPr>
        <w:t>为</w:t>
      </w:r>
      <w:r>
        <w:rPr>
          <w:rFonts w:hint="eastAsia"/>
        </w:rPr>
        <w:t>“优”，</w:t>
      </w:r>
      <w:r>
        <w:rPr>
          <w:rFonts w:hint="eastAsia"/>
          <w:lang w:val="en-US" w:eastAsia="zh-CN"/>
        </w:rPr>
        <w:t>3</w:t>
      </w:r>
      <w:r>
        <w:rPr>
          <w:rFonts w:hint="eastAsia"/>
        </w:rPr>
        <w:t>个项目自评结果均为“良”，</w:t>
      </w:r>
      <w:r>
        <w:rPr>
          <w:rFonts w:hAnsi="宋体"/>
          <w:szCs w:val="28"/>
        </w:rPr>
        <w:t>分项目自评情况分析如下</w:t>
      </w:r>
      <w:r>
        <w:rPr>
          <w:rFonts w:hint="eastAsia" w:hAnsi="宋体"/>
          <w:szCs w:val="28"/>
        </w:rPr>
        <w:t>：</w:t>
      </w:r>
    </w:p>
    <w:p>
      <w:pPr>
        <w:pStyle w:val="3"/>
        <w:ind w:firstLine="643"/>
      </w:pPr>
      <w:bookmarkStart w:id="59" w:name="_Toc40046039"/>
      <w:bookmarkStart w:id="60" w:name="_Toc27085"/>
      <w:bookmarkStart w:id="61" w:name="_Toc857"/>
      <w:bookmarkStart w:id="62" w:name="_Toc64982117"/>
      <w:bookmarkStart w:id="63" w:name="_Toc64819708"/>
      <w:bookmarkStart w:id="64" w:name="_Toc64982245"/>
      <w:bookmarkStart w:id="65" w:name="_Toc17463"/>
      <w:r>
        <w:rPr>
          <w:rFonts w:hint="eastAsia"/>
        </w:rPr>
        <w:t>（一）项目</w:t>
      </w:r>
      <w:r>
        <w:t>1－</w:t>
      </w:r>
      <w:bookmarkEnd w:id="59"/>
      <w:bookmarkEnd w:id="60"/>
      <w:r>
        <w:rPr>
          <w:rFonts w:hint="eastAsia"/>
        </w:rPr>
        <w:t>业务费</w:t>
      </w:r>
      <w:bookmarkEnd w:id="61"/>
      <w:bookmarkEnd w:id="62"/>
      <w:bookmarkEnd w:id="63"/>
      <w:bookmarkEnd w:id="64"/>
      <w:bookmarkEnd w:id="65"/>
    </w:p>
    <w:p>
      <w:pPr>
        <w:pStyle w:val="4"/>
        <w:ind w:firstLine="562"/>
        <w:rPr>
          <w:szCs w:val="28"/>
        </w:rPr>
      </w:pPr>
      <w:bookmarkStart w:id="66" w:name="_Toc64819709"/>
      <w:bookmarkStart w:id="67" w:name="_Toc40046040"/>
      <w:r>
        <w:rPr>
          <w:rFonts w:hint="eastAsia"/>
          <w:szCs w:val="28"/>
        </w:rPr>
        <w:t>1</w:t>
      </w:r>
      <w:r>
        <w:rPr>
          <w:rFonts w:hint="eastAsia" w:hAnsi="宋体"/>
          <w:szCs w:val="28"/>
        </w:rPr>
        <w:t>、</w:t>
      </w:r>
      <w:r>
        <w:rPr>
          <w:rFonts w:hint="eastAsia"/>
          <w:szCs w:val="28"/>
        </w:rPr>
        <w:t>项目支出预算执行情况</w:t>
      </w:r>
      <w:bookmarkEnd w:id="66"/>
      <w:bookmarkEnd w:id="67"/>
    </w:p>
    <w:p>
      <w:pPr>
        <w:ind w:firstLine="560"/>
        <w:rPr>
          <w:szCs w:val="28"/>
        </w:rPr>
      </w:pPr>
      <w:r>
        <w:rPr>
          <w:rFonts w:hint="eastAsia"/>
          <w:szCs w:val="28"/>
        </w:rPr>
        <w:t>业务费项目年初预算数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700万元，全年支出数700万元，预算执行率100</w:t>
      </w:r>
      <w:r>
        <w:rPr>
          <w:szCs w:val="28"/>
        </w:rPr>
        <w:t>%</w:t>
      </w:r>
      <w:r>
        <w:rPr>
          <w:rFonts w:hint="eastAsia"/>
          <w:szCs w:val="28"/>
        </w:rPr>
        <w:t>，指标分值10分，按评分标准得10分，得分率100%。</w:t>
      </w:r>
    </w:p>
    <w:p>
      <w:pPr>
        <w:pStyle w:val="4"/>
        <w:ind w:firstLine="562"/>
        <w:rPr>
          <w:szCs w:val="28"/>
        </w:rPr>
      </w:pPr>
      <w:bookmarkStart w:id="68" w:name="_Toc40046041"/>
      <w:bookmarkStart w:id="69" w:name="_Toc64819710"/>
      <w:r>
        <w:rPr>
          <w:rFonts w:hint="eastAsia"/>
          <w:szCs w:val="28"/>
        </w:rPr>
        <w:t>2</w:t>
      </w:r>
      <w:r>
        <w:rPr>
          <w:rFonts w:hint="eastAsia" w:hAnsi="宋体"/>
          <w:szCs w:val="28"/>
        </w:rPr>
        <w:t>、</w:t>
      </w:r>
      <w:r>
        <w:rPr>
          <w:rFonts w:hint="eastAsia"/>
          <w:szCs w:val="28"/>
        </w:rPr>
        <w:t>总体绩效目标完成情况分析</w:t>
      </w:r>
      <w:bookmarkEnd w:id="68"/>
      <w:bookmarkEnd w:id="69"/>
    </w:p>
    <w:p>
      <w:pPr>
        <w:ind w:firstLine="560"/>
        <w:rPr>
          <w:szCs w:val="28"/>
        </w:rPr>
      </w:pPr>
      <w:r>
        <w:rPr>
          <w:rFonts w:hint="eastAsia"/>
          <w:szCs w:val="28"/>
        </w:rPr>
        <w:t>本项目自评价得分99.5分，自评结果为“优”。主要任务完成情况分析如下：</w:t>
      </w:r>
    </w:p>
    <w:p>
      <w:pPr>
        <w:ind w:firstLine="562"/>
        <w:rPr>
          <w:szCs w:val="28"/>
        </w:rPr>
      </w:pPr>
      <w:r>
        <w:rPr>
          <w:rFonts w:hint="eastAsia"/>
          <w:b/>
          <w:bCs/>
          <w:szCs w:val="28"/>
        </w:rPr>
        <w:t>预期目标：</w:t>
      </w:r>
      <w:r>
        <w:rPr>
          <w:rFonts w:hint="eastAsia"/>
          <w:szCs w:val="28"/>
        </w:rPr>
        <w:t>通过业务费支出，确保省委宣传部日常事务和管理工作顺利开展，充分履行部门各项职能，为各业务单位日常工作的顺利进行提供有力的基础条件保障。</w:t>
      </w:r>
    </w:p>
    <w:p>
      <w:pPr>
        <w:ind w:firstLine="562"/>
        <w:rPr>
          <w:rFonts w:hAnsi="宋体"/>
          <w:szCs w:val="28"/>
        </w:rPr>
      </w:pPr>
      <w:r>
        <w:rPr>
          <w:rFonts w:hint="eastAsia"/>
          <w:b/>
          <w:bCs/>
          <w:szCs w:val="28"/>
        </w:rPr>
        <w:t>实际完成情况：</w:t>
      </w:r>
      <w:r>
        <w:rPr>
          <w:rFonts w:hint="eastAsia"/>
          <w:szCs w:val="28"/>
        </w:rPr>
        <w:t>通过业务费项目的实施确保了我部日常事务和管理工作的顺利开展，调研督导、组织宣传活动等强化了宣传职能，提高了管理水平。全年购买设施设备及办公用品100件左右，刊物征订种类30余种，组织调研督导工作100余次，组织宣传工作20余次，达到预期目标。</w:t>
      </w:r>
    </w:p>
    <w:p>
      <w:pPr>
        <w:pStyle w:val="4"/>
        <w:ind w:firstLine="562"/>
        <w:rPr>
          <w:szCs w:val="28"/>
        </w:rPr>
      </w:pPr>
      <w:bookmarkStart w:id="70" w:name="_Toc64819711"/>
      <w:r>
        <w:rPr>
          <w:rFonts w:hint="eastAsia"/>
          <w:szCs w:val="28"/>
        </w:rPr>
        <w:t>3</w:t>
      </w:r>
      <w:r>
        <w:rPr>
          <w:rFonts w:hint="eastAsia" w:hAnsi="宋体"/>
          <w:szCs w:val="28"/>
        </w:rPr>
        <w:t>、</w:t>
      </w:r>
      <w:r>
        <w:rPr>
          <w:rFonts w:hint="eastAsia"/>
          <w:szCs w:val="28"/>
        </w:rPr>
        <w:t>各项指标完成情况分析</w:t>
      </w:r>
      <w:bookmarkEnd w:id="70"/>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产出指标包括数量指标、质量指标、时效指标、成本指标4个二级指标，34个三级指标，指标总分值68分，自评得分67.5分，得分率99.26%。指标分析如下：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材料印刷份数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材料邮寄数量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1万份</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≥400人次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400人次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供暖面积</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≥2000平方米</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2000平方米</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公务用车维护车辆数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≥5辆</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5辆</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购买第三方服务次数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购买设施设备及办公用品数量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100件</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刊物征订种类</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评审专家人数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用电度数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≥15万度</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15万度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用水吨数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≥1000吨</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1000吨</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组织调研督导活动次数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组织宣传活动次数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组织专家评审次数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材料邮寄准确率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第三方服务有效率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供暖室温</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≥22摄氏度</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22摄氏度</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供水电全年覆盖率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公务用车运行维护稳定率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刊物征订种类覆盖率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设施设备购买质量合格率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组织专家评审准确率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材料邮寄及时性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第三方服务及时性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调研督导活动开展及时性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供水电暖及时性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公务用车维护及时性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刊物征订及时性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设施设备购置及时率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宣传活动完成及时性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组织专家评审及时性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成本节约率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0.5</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68</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67.5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99.26%</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为确保省委宣传部日常事务和管理工作顺利开展，充分履行部门各项职能，全年组织开展宣传活动20余次，组织调研督导活动100余次，调研督导人数达400人次，组织专家评审12余次，评审专家人数达7人次，刊物征订种类30余种，印刷邮寄材料1万余份；为了提高办公效率，全年购买第三方服务3次，购买设施设备及办公用品100余件；全年根据工作安排及缴纳水电暖费用，对公务用车进行日常维修维护，保障了机构的正常运转。数量指标均达到了预期目标值，指标分值合计28分，按评分标准得28分，得分率100%。</w:t>
      </w:r>
    </w:p>
    <w:p>
      <w:pPr>
        <w:ind w:firstLine="562"/>
        <w:rPr>
          <w:szCs w:val="28"/>
        </w:rPr>
      </w:pPr>
      <w:r>
        <w:rPr>
          <w:rFonts w:hint="eastAsia"/>
          <w:b/>
          <w:bCs/>
          <w:szCs w:val="28"/>
        </w:rPr>
        <w:t>质量指标：</w:t>
      </w:r>
      <w:r>
        <w:rPr>
          <w:rFonts w:hint="eastAsia"/>
          <w:szCs w:val="28"/>
        </w:rPr>
        <w:t>2021年我部认真履职尽责，推动宣传思想工作守正创新、展现新作为，各项工作取得了新成效。全年组织宣传覆盖率为90%，材料邮寄准确率为100%，保障了宣传工作的有效开展，组织专家评审准确率为100%，切实做到评审的公平公正，刊物征订种类覆盖率为90%，保证了专业期刊的完整性和连续性，调研督导工作的开展有效指导了各项业务工作的顺利开展，购买第三方服务提升了办公效率及质量；设施设备购买质量合格率为100%，公务用车运行维护稳定率为100%，全年水电暖保障及时、到位，切实保障了机构的正常运转。质量指标均达到了预期目标值，指标分值合计30分，按评分标准得30分，得分率100%。</w:t>
      </w:r>
    </w:p>
    <w:p>
      <w:pPr>
        <w:ind w:firstLine="562"/>
        <w:rPr>
          <w:b/>
          <w:bCs/>
          <w:szCs w:val="28"/>
        </w:rPr>
      </w:pPr>
      <w:r>
        <w:rPr>
          <w:rFonts w:hint="eastAsia"/>
          <w:b/>
          <w:bCs/>
          <w:szCs w:val="28"/>
        </w:rPr>
        <w:t>时效指标：</w:t>
      </w:r>
      <w:r>
        <w:rPr>
          <w:rFonts w:hint="eastAsia"/>
          <w:szCs w:val="28"/>
        </w:rPr>
        <w:t>2021年我部根据年度工作计划完成了组织宣传、组织专家评审、刊物征订、调研督导、材料邮寄、购买第三方服务、设施设备购置及水电暖保障工作，各项工作均在规定时间内完成。时效指标均达到了预期目标值，指标分值合计9.5分，按评分标准得9.5分，得分率100%。</w:t>
      </w:r>
    </w:p>
    <w:p>
      <w:pPr>
        <w:ind w:firstLine="562"/>
        <w:rPr>
          <w:b/>
          <w:bCs/>
          <w:szCs w:val="28"/>
        </w:rPr>
      </w:pPr>
      <w:r>
        <w:rPr>
          <w:rFonts w:hint="eastAsia"/>
          <w:b/>
          <w:bCs/>
          <w:szCs w:val="28"/>
        </w:rPr>
        <w:t>成本指标：</w:t>
      </w:r>
      <w:r>
        <w:rPr>
          <w:rFonts w:hint="eastAsia"/>
          <w:szCs w:val="28"/>
        </w:rPr>
        <w:t>2021年我部业务费项目全年预算资金为700万，实际支出700万元，无超预算开支，成本节约率为0%，达到了预期目标值，由于系统原因导致扣分。</w:t>
      </w:r>
      <w:r>
        <w:rPr>
          <w:rStyle w:val="24"/>
          <w:rFonts w:hint="eastAsia"/>
          <w:sz w:val="28"/>
          <w:szCs w:val="28"/>
        </w:rPr>
        <w:t>指标</w:t>
      </w:r>
      <w:r>
        <w:rPr>
          <w:rFonts w:hint="eastAsia"/>
          <w:szCs w:val="28"/>
        </w:rPr>
        <w:t>分值0.5分，按评分标准得0分，得分率0%。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效益指标包括社会效益指标、可持续影响指标2个二级指标，2个三级指标，指标总分值12分，自评得分12分，得分率100%。指标分析如下：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1473"/>
        <w:gridCol w:w="1489"/>
        <w:gridCol w:w="895"/>
        <w:gridCol w:w="88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群众政策知晓率</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长效管理机制</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12</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12</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发挥“学习强国”甘肃学习平台、新时代文明实践中心、县级融媒体中心等阵地作用，推出“颇有道理”、《习语典读》等一批新媒体理论产品，打造机关“学习走廊”学习品牌，开展理论和形势政策宣讲志愿服务活动8万多场，推动党的创新理论走进千家万户，群众政策知晓率为80%，达到预期目标值。指标分值6分，按评分标准得6分，得分率100%。</w:t>
      </w:r>
    </w:p>
    <w:p>
      <w:pPr>
        <w:ind w:firstLine="562"/>
        <w:rPr>
          <w:szCs w:val="28"/>
        </w:rPr>
      </w:pPr>
      <w:r>
        <w:rPr>
          <w:rFonts w:hint="eastAsia"/>
          <w:b/>
          <w:bCs/>
          <w:szCs w:val="28"/>
        </w:rPr>
        <w:t>可持续影响指标：</w:t>
      </w:r>
      <w:r>
        <w:rPr>
          <w:rFonts w:hint="eastAsia"/>
          <w:szCs w:val="28"/>
        </w:rPr>
        <w:t>2021年我部建立全省外宣工作联席会议机制，成立省委宣传思想和意识形态工作领导小组，健全领导体制机制，制定责任追究机制，修订考核办法，完善监督机制，建立与省委统战部的协作机制，制度机制的“四梁八柱”更加健全，能够有效指导各项工作的顺利开展。指标分值6分，按评分标准得6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满意度指标包括案件机关工作人员满意度、群众满意度2个三级指标，指标总分值10分，自评得分10分，得分率100%。指标分析如下：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机关工作人员满意度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群众满意度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通过业务费的实施使得办公设备设施得到更新，保障了各项工作的顺利开展，得了机关工作人员的充分认可，机关工作人员满</w:t>
      </w:r>
      <w:r>
        <w:rPr>
          <w:rFonts w:hint="eastAsia" w:cs="仿宋_GB2312"/>
          <w:color w:val="333333"/>
          <w:szCs w:val="28"/>
        </w:rPr>
        <w:t>意度为95%；我部坚持稳中求进、守正创新、担当作为，全省宣传思想文化各项工作取得新进展新成效，为努力谱写加快建设幸福美好新甘肃、不断开创富民兴陇新局面时代篇章提供了坚强思想保证和强大精神力量，得到了人民群众较为广泛的认同，群众满意度为95%。满意度指标均达到了预期目标值，指标分值合计10分，按评分标准得10分，得分率100%。</w:t>
      </w:r>
    </w:p>
    <w:p>
      <w:pPr>
        <w:pStyle w:val="4"/>
        <w:ind w:firstLine="562"/>
        <w:rPr>
          <w:szCs w:val="28"/>
        </w:rPr>
      </w:pPr>
      <w:bookmarkStart w:id="71" w:name="_Toc40046043"/>
      <w:bookmarkStart w:id="72" w:name="_Toc64819712"/>
      <w:r>
        <w:rPr>
          <w:rFonts w:hint="eastAsia"/>
          <w:szCs w:val="28"/>
        </w:rPr>
        <w:t>4</w:t>
      </w:r>
      <w:r>
        <w:rPr>
          <w:rFonts w:hint="eastAsia" w:hAnsi="宋体"/>
          <w:szCs w:val="28"/>
        </w:rPr>
        <w:t>、</w:t>
      </w:r>
      <w:r>
        <w:rPr>
          <w:rFonts w:hint="eastAsia"/>
          <w:szCs w:val="28"/>
        </w:rPr>
        <w:t>偏离绩效目标的原因及下一步改进措施</w:t>
      </w:r>
      <w:bookmarkEnd w:id="71"/>
      <w:bookmarkEnd w:id="72"/>
    </w:p>
    <w:p>
      <w:pPr>
        <w:ind w:firstLine="560"/>
      </w:pPr>
      <w:r>
        <w:rPr>
          <w:rFonts w:hint="eastAsia"/>
        </w:rPr>
        <w:t>无。</w:t>
      </w:r>
    </w:p>
    <w:p>
      <w:pPr>
        <w:pStyle w:val="3"/>
        <w:ind w:firstLine="643"/>
        <w:rPr>
          <w:rFonts w:ascii="仿宋_GB2312" w:eastAsia="仿宋_GB2312"/>
        </w:rPr>
      </w:pPr>
      <w:bookmarkStart w:id="73" w:name="_Toc23192"/>
      <w:r>
        <w:rPr>
          <w:rFonts w:hint="eastAsia" w:cs="楷体"/>
        </w:rPr>
        <w:t>（二）项目</w:t>
      </w:r>
      <w:r>
        <w:rPr>
          <w:rFonts w:cs="楷体"/>
        </w:rPr>
        <w:t>2－宣传文化发展专项（含文化精品创作生产、“十个一”文化品牌工程）</w:t>
      </w:r>
      <w:bookmarkEnd w:id="73"/>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宣传文化发展专项年初预算数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1000万元，全年支出数1000万元，预算执行率100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繁荣和发展我省文学艺术事业，激励和引导文艺创作，实现社会效益和经济效益相统一，推动社会主义精神文明建设。激发全省文艺创作者的创作、生产热情，提升全省文化知名度和影响力。</w:t>
      </w:r>
    </w:p>
    <w:p>
      <w:pPr>
        <w:ind w:firstLine="562"/>
        <w:rPr>
          <w:rFonts w:hAnsi="宋体"/>
          <w:szCs w:val="28"/>
        </w:rPr>
      </w:pPr>
      <w:r>
        <w:rPr>
          <w:rFonts w:hint="eastAsia"/>
          <w:b/>
          <w:bCs/>
          <w:szCs w:val="28"/>
        </w:rPr>
        <w:t>实际完成情况：</w:t>
      </w:r>
      <w:r>
        <w:rPr>
          <w:rFonts w:hint="eastAsia"/>
          <w:szCs w:val="28"/>
        </w:rPr>
        <w:t>按照繁荣和发展我省文学艺术事业的目标，全省积极推进各项文化宣传工作。2021年，组织开展宣传活动10次，出版物审读1次，参与调研督导人数200人，审读人员30人。实现了激励和引导文艺创作，提升全省文化知名度和影响力的预期目标。</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产出指标包括数量指标、质量指标、时效指标3个二级指标，14个三级指标，指标总分值50分，自评得分50分，得分率100%。指标分析如下：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参与调研督导人数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参与审读人员数量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3.59</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扶贫乡镇数量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全省出版物审读次数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组织调研督导工作次数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调研督导有效率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98%</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扶贫资金足额拨付率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全省出版物审读准确率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政策方针宣传覆盖率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参与扶贫及时性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组织出版物审读及时性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组织调研督导及时性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组织宣传及时性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通过宣传文化发展专项的实施，激励和引导文艺创作，提升了全省文化知名度和影响力。其中，组织调研督导工作20余次，参与调研督导人数达200余人次，组织宣传活动10余次，完成了年度2个乡镇的扶贫工作，完成全省出版物审读1次，参与审读人员数量达30余人，各项工作均保质保量完成。数量指标均达到了预期目标值，指标分值合计21.44分，按评分标准得21.44分，得分率100%。</w:t>
      </w:r>
    </w:p>
    <w:p>
      <w:pPr>
        <w:ind w:firstLine="562"/>
        <w:rPr>
          <w:szCs w:val="28"/>
        </w:rPr>
      </w:pPr>
      <w:r>
        <w:rPr>
          <w:rFonts w:hint="eastAsia"/>
          <w:b/>
          <w:bCs/>
          <w:szCs w:val="28"/>
        </w:rPr>
        <w:t>质量指标：</w:t>
      </w:r>
      <w:r>
        <w:rPr>
          <w:rFonts w:hint="eastAsia"/>
          <w:szCs w:val="28"/>
        </w:rPr>
        <w:t>2021年我部合理使用宣传文化发展专项资金，各项工作取得了新成效。政策方针宣传覆盖率为90%，保障了中央及省级政策方针的有效实施；调研督导工作的开展有效指导了各项业务工作的顺利开展；全省出版物审读准确率为90%，通过加强对各个环节的监管和把关，及时发现问题，采取措施，同时加强对各方面图书出版情况的了解，有利于相互沟通出版信息，加大宏观调控；我部根据年度扶贫工作计划将扶贫资金足额拨付，为进一步巩固脱贫攻坚提质增效。质量指标均达到了预期目标值，指标分值合计14.28分，按评分标准得14.28分，得分率100%。</w:t>
      </w:r>
    </w:p>
    <w:p>
      <w:pPr>
        <w:ind w:firstLine="562"/>
        <w:rPr>
          <w:b/>
          <w:bCs/>
          <w:szCs w:val="28"/>
        </w:rPr>
      </w:pPr>
      <w:r>
        <w:rPr>
          <w:rFonts w:hint="eastAsia"/>
          <w:b/>
          <w:bCs/>
          <w:szCs w:val="28"/>
        </w:rPr>
        <w:t>时效指标：</w:t>
      </w:r>
      <w:r>
        <w:rPr>
          <w:rFonts w:hint="eastAsia"/>
          <w:szCs w:val="28"/>
        </w:rPr>
        <w:t>2021年我部根据年度工作计划完成了组织宣传、调研督导、出版物审读、参与扶贫等工作，各项工作均在规定时间内完成。时效指标均达到了预期目标值，指标分值合计14.28分，按评分标准得14.28分，得分率100%。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效益指标包括社会效益指标、生态效益指标、可持续影响指标3个二级指标，3个三级指标，指标总分值30分，自评得分30分，得分率100%。指标分析如下：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1"/>
        <w:gridCol w:w="1185"/>
        <w:gridCol w:w="1190"/>
        <w:gridCol w:w="895"/>
        <w:gridCol w:w="88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促进甘肃省文化事业繁荣发展</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促进</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提高干部群众生态环保意识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可持续发展能力</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加快文化强省建设，努力推动全省文化事业产业发展，强化公共文化服务供给，不断丰富基层群众文化生活；深化文化体制改革，促进了文化事业产业的繁荣发展。指标分值10分，按评分标准得10分，得分率100%。</w:t>
      </w:r>
    </w:p>
    <w:p>
      <w:pPr>
        <w:ind w:firstLine="562"/>
        <w:rPr>
          <w:szCs w:val="28"/>
        </w:rPr>
      </w:pPr>
      <w:r>
        <w:rPr>
          <w:rFonts w:hint="eastAsia"/>
          <w:b/>
          <w:bCs/>
          <w:szCs w:val="28"/>
        </w:rPr>
        <w:t>生态效益指标：</w:t>
      </w:r>
      <w:r>
        <w:rPr>
          <w:rFonts w:hint="eastAsia"/>
          <w:szCs w:val="28"/>
        </w:rPr>
        <w:t>2021年我部加强对环保重点工作的宣传和对环保政策法规的宣传，针对工业企业污染防治、推进流域水环境突出问题防治、大气突出环境问题防治等当前生态环境保护重点工作进行宣传，形成“人人关心、人人参与”的良好局面，使得干部群众生态环保意识得到提升。指标分值10分，按评分标准得10分，得分率100%。</w:t>
      </w:r>
    </w:p>
    <w:p>
      <w:pPr>
        <w:ind w:firstLine="562"/>
        <w:rPr>
          <w:szCs w:val="28"/>
        </w:rPr>
      </w:pPr>
      <w:r>
        <w:rPr>
          <w:rFonts w:hint="eastAsia"/>
          <w:b/>
          <w:bCs/>
          <w:szCs w:val="28"/>
        </w:rPr>
        <w:t>可持续影响指标：</w:t>
      </w:r>
      <w:r>
        <w:rPr>
          <w:rFonts w:hint="eastAsia"/>
          <w:szCs w:val="28"/>
        </w:rPr>
        <w:t>2021年我部持续深化群众性精神文明创建，通过文明城市创建、文明村镇创建、文明家庭创建、文明校园创建等方式，持续推动我省精神文明建设，可持续发展能力得到进一步提升。指标分值10分，按评分标准得10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满意度指标包括受益社会大众满意度1个三级指标，指标总分值10分，自评得分10分，得分率100%。指标分析如下：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受益社会大众满意度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996"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坚持稳中求进、守正创新、担当作为，全省宣传思想文化各项工作取得新进展新成效，为努力谱写加快建设幸福美好新甘肃、不断开创富民兴陇新局面时代篇章提供了坚强思想保证和强大精神力量，得到了社会大众较为广泛的认同，受益社会大众满意度为95%，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74" w:name="_Toc23083"/>
      <w:r>
        <w:rPr>
          <w:rFonts w:hint="eastAsia"/>
        </w:rPr>
        <w:t>（三）项目3－延安精神研究工作经费</w:t>
      </w:r>
      <w:bookmarkEnd w:id="74"/>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延安精神研究工作经费项目年初预算数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100万元，全年支出数100万元，预算执行率100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本项目自评价得分92.49分，自评结果为“优”。主要任务完成情况分析如下：</w:t>
      </w:r>
    </w:p>
    <w:p>
      <w:pPr>
        <w:ind w:firstLine="562"/>
        <w:rPr>
          <w:szCs w:val="28"/>
        </w:rPr>
      </w:pPr>
      <w:r>
        <w:rPr>
          <w:rFonts w:hint="eastAsia"/>
          <w:b/>
          <w:bCs/>
          <w:szCs w:val="28"/>
        </w:rPr>
        <w:t>预期目标：</w:t>
      </w:r>
      <w:r>
        <w:rPr>
          <w:rFonts w:hint="eastAsia"/>
          <w:szCs w:val="28"/>
        </w:rPr>
        <w:t>在省委宣传部直接领导下，贯彻落实党中央和省委决策部署，围绕中心、服务大局，积极策划、组织红色文化相关活动；进一步发挥光芒网、《光芒》杂志、延安精神宣讲团平台和品牌作用，大力宣传、研究、弘扬和践行延安精神，继承发扬好党的优良传统和作风，着力打造延安精神七进宣讲活动品牌，切实讲好“四个故事”；加强学习借鉴，在中延会指导和友省延研会、红色场馆和文化机构先进经验带动下，进一步加强对甘肃省红色文化资源宣传、保护和利用，不断增强甘肃省红色文化的知名度、影响力，为富民兴陇大业提供坚强的精神力量。</w:t>
      </w:r>
    </w:p>
    <w:p>
      <w:pPr>
        <w:ind w:firstLine="562"/>
        <w:rPr>
          <w:rFonts w:hAnsi="宋体"/>
          <w:szCs w:val="28"/>
        </w:rPr>
      </w:pPr>
      <w:r>
        <w:rPr>
          <w:rFonts w:hint="eastAsia"/>
          <w:b/>
          <w:bCs/>
          <w:szCs w:val="28"/>
        </w:rPr>
        <w:t>实际完成情况：</w:t>
      </w:r>
      <w:r>
        <w:rPr>
          <w:rFonts w:hint="eastAsia"/>
          <w:szCs w:val="28"/>
        </w:rPr>
        <w:t>在省委安排下，深入开展了延安精神“七进”活动，加强了新形势下广大党员干部开展党的群众路线和党的优良传统教育。全年《光芒》网站发布信息128条，开展延安精神“七进”宣讲场次30余次，出版发行《光芒杂志》4期，总体达到目标任务，更广泛宣传了延安精神，丰富了延安精神内涵，弘扬了党的优良传统和作风，培育和践行了社会主义核心价值观。</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产出指标包括数量指标、质量指标、时效指标3个二级指标，21个三级指标，指标总分值50分，自评得分43.41分，得分率86.82%。指标分析如下：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《光芒》公众号更新文章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≥388篇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1000篇</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1.31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《光芒》网站发布信息</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≥7000条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128条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0.02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《光芒》网站发布信息数量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≥7000条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128条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《光芒》微信公众号点击量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≥100万次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3.6万次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0.07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《光芒》杂志出版数量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≥6000册</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6000册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《光芒》杂志发刊</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=4期</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4期</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出版红色文化论文集</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红色文化课题完成量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1.89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红色文化主题宣讲报告会</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网站点击量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≥700万次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700万次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学习调研</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1.44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延安精神“七进”宣讲场次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0.68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可读人群覆盖率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网络安全规范率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网站发布信息内容匹配率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网站维护规范性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杂志发行到位率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99.60%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网站发布信息及时性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网站维护及时性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宣讲会举办及时性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杂志发刊及时性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43.41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86.82%</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省延研会围绕中心、服务大局，持续打造和完善“甘肃延安精神宣讲团”，不断发挥《光芒》杂志和光芒网宣传阵地作用等，在研究、宣传、弘扬延安精神方面做了大量卓有成效的工作，受到了省委和中国延安精神研究会充分肯定。全年《光芒》公众号更新文章1000篇，《光芒》网站发布信息128条，《光芒》微信公众号点击量超过3.6万次，网站点击量超过7000万次，出版《光芒》杂志6000册，刊发《光芒》杂志4期；组织开展红色文化主题宣讲报告会40场、延安精神“七进”宣讲30场，完成了红色文化课题3个，组织学习调研7次，以“学好百年党史，弘扬延安精神”为主题，走进机关、基层、企业、学校，以专家讲党史、宣讲员讲故事、艺术家诵唱经典的等丰富多彩的方式，先后在多所大中小学校和机关及事业单位举行大型党史宣讲活动14场，并在省财政厅的宣讲第一次采用网络直播的方式进行，在线观众达21万人次，取得了良好的社会反响。除《光芒》网站发布信息、《光芒》微信公众号点击量和出版红色文化论文集外其余指标均达到预期目标值，指标分值合计22分，按评分标准得15.41分，得分率70.05%。</w:t>
      </w:r>
    </w:p>
    <w:p>
      <w:pPr>
        <w:ind w:firstLine="562"/>
        <w:rPr>
          <w:szCs w:val="28"/>
        </w:rPr>
      </w:pPr>
      <w:r>
        <w:rPr>
          <w:rFonts w:hint="eastAsia"/>
          <w:b/>
          <w:bCs/>
          <w:szCs w:val="28"/>
        </w:rPr>
        <w:t>质量指标：</w:t>
      </w:r>
      <w:r>
        <w:rPr>
          <w:rFonts w:hint="eastAsia"/>
          <w:szCs w:val="28"/>
        </w:rPr>
        <w:t>2021年《光芒》杂志的发刊覆盖了95%的可读人群，有效推动了红色文化的传播；对《光芒》网站实施规范化管理，使得网站安全性得到提升，网站发布信息内容匹配率为100%，确保了红色文化的有效传播；杂志发行到位率为99.60%，为传承红色基因、弘扬延安等革命精神创造了良好的社会环境。质量指标均达到了预期目标值，指标分值合计20分，按评分标准得20分，得分率100%。</w:t>
      </w:r>
    </w:p>
    <w:p>
      <w:pPr>
        <w:ind w:firstLine="562"/>
        <w:rPr>
          <w:b/>
          <w:bCs/>
          <w:szCs w:val="28"/>
        </w:rPr>
      </w:pPr>
      <w:r>
        <w:rPr>
          <w:rFonts w:hint="eastAsia"/>
          <w:b/>
          <w:bCs/>
          <w:szCs w:val="28"/>
        </w:rPr>
        <w:t>时效指标：</w:t>
      </w:r>
      <w:r>
        <w:rPr>
          <w:rFonts w:hint="eastAsia"/>
          <w:szCs w:val="28"/>
        </w:rPr>
        <w:t>2021年我部根据年度工作计划完成了宣讲会的举办、杂志的刊发、网站维护及网站信息发布等工作，各项工作均在规定时间内完成。时效指标均达到了预期目标值，指标分值合计8分，按评分标准得8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效益指标包括社会效益指标、可持续影响指标2个二级指标，6个三级指标，指标总分值30分，自评得分29.08分，得分率96.93%。指标分析如下：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5"/>
        <w:gridCol w:w="1380"/>
        <w:gridCol w:w="1221"/>
        <w:gridCol w:w="895"/>
        <w:gridCol w:w="88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红色文化普及性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较高</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红色资源利用率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南梁精神影响力提升性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延安精神、南梁精神发扬率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延安精神在群众中的发挥率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红色文化持续影响力</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增长</w:t>
            </w:r>
          </w:p>
        </w:tc>
        <w:tc>
          <w:tcPr>
            <w:tcW w:w="12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8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29.08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96.93%</w:t>
            </w:r>
          </w:p>
        </w:tc>
      </w:tr>
    </w:tbl>
    <w:p>
      <w:pPr>
        <w:ind w:firstLine="562"/>
        <w:rPr>
          <w:szCs w:val="28"/>
        </w:rPr>
      </w:pPr>
      <w:r>
        <w:rPr>
          <w:rFonts w:hint="eastAsia"/>
          <w:b/>
          <w:bCs/>
          <w:szCs w:val="28"/>
        </w:rPr>
        <w:t>社会效益指标：</w:t>
      </w:r>
      <w:r>
        <w:rPr>
          <w:rFonts w:hint="eastAsia"/>
          <w:szCs w:val="28"/>
        </w:rPr>
        <w:t>2021年我部重点打造的对外学习和交往交流活动平台，不断汲取外省宣传红色文化的好经验、好做法，同时推介甘肃的红色文化，扩大甘肃影响，坚持把讲政治放在首位，围绕中心、服务大局，很好地发挥了职能作用，进一步促进了红色文化普及和红色资源的有效利用；我部在弘扬延安精神的实践中热情高、劲头足，发挥特长、善作善成，不断取得新成效，使得延安精神、南梁精神不断发扬光大，革命精神社会影响力得到不断提升。红色资源利用率高达99%，由于实际完成值超过目标值130%导致扣分。指标分值合计25分，按评分标准得2</w:t>
      </w:r>
      <w:r>
        <w:rPr>
          <w:rFonts w:hint="eastAsia"/>
          <w:szCs w:val="28"/>
          <w:lang w:val="en-US" w:eastAsia="zh-CN"/>
        </w:rPr>
        <w:t>4</w:t>
      </w:r>
      <w:r>
        <w:rPr>
          <w:rFonts w:hint="eastAsia"/>
          <w:szCs w:val="28"/>
        </w:rPr>
        <w:t>.08分，得分率96.</w:t>
      </w:r>
      <w:r>
        <w:rPr>
          <w:rFonts w:hint="eastAsia"/>
          <w:szCs w:val="28"/>
          <w:lang w:val="en-US" w:eastAsia="zh-CN"/>
        </w:rPr>
        <w:t>32</w:t>
      </w:r>
      <w:r>
        <w:rPr>
          <w:rFonts w:hint="eastAsia"/>
          <w:szCs w:val="28"/>
        </w:rPr>
        <w:t>%。</w:t>
      </w:r>
    </w:p>
    <w:p>
      <w:pPr>
        <w:ind w:firstLine="562"/>
        <w:rPr>
          <w:szCs w:val="28"/>
        </w:rPr>
      </w:pPr>
      <w:r>
        <w:rPr>
          <w:rFonts w:hint="eastAsia"/>
          <w:b/>
          <w:bCs/>
          <w:szCs w:val="28"/>
        </w:rPr>
        <w:t>可持续影响指标：</w:t>
      </w:r>
      <w:r>
        <w:rPr>
          <w:rFonts w:hint="eastAsia"/>
          <w:szCs w:val="28"/>
        </w:rPr>
        <w:t>2021年我部加大红色文化项目投入，打造红色文化品牌，借助品牌效应，促进红色文化广泛传播，拓宽红色文化产业融资渠道，积极引进社会资金进入红色文化产业，促进红色持续影响力不断增强。指标分值5分，按评分标准得5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满意度指标包括服务对象满意度1个三级指标，指标分值10分，自评得分10分，得分率100%。指标分析如下：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服务对象满意度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进一步发挥光芒网、《光芒》杂志、延安精神宣讲团平台和品牌作用，大力宣传、研究、弘扬和践行延安精神，继承发扬好党的优良传统和作风，着力打造延安精神七进宣讲活动品牌，切实讲好“四个故事”；加强学习借鉴，在中延会指导和友省延研会、红色场馆和文化机构先进经验带动下，进一步加强对甘肃省红色文化资源宣传、保护和利用，不断增强甘肃省红色文化的知名度、影响力，为富民兴陇大业提供坚强的精神力量</w:t>
      </w:r>
      <w:r>
        <w:rPr>
          <w:rFonts w:hint="eastAsia" w:cs="仿宋_GB2312"/>
          <w:color w:val="333333"/>
          <w:szCs w:val="28"/>
        </w:rPr>
        <w:t>，得到了人民群众较为广泛的认同，服务对象满意度为95%，达到了预期目标值。指标分值合计10分，按评分标准得10分，得分率100%。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（1）《光芒》公众号更新文章、学习调研次数及红色资源利用率</w:t>
      </w:r>
    </w:p>
    <w:p>
      <w:pPr>
        <w:ind w:firstLine="560"/>
      </w:pPr>
      <w:r>
        <w:rPr>
          <w:rFonts w:hint="eastAsia"/>
        </w:rPr>
        <w:t>2021年我部《光芒》公众号更新文章1000篇，开展学习调研7次，红色资源利用率高达99%，由于实际完成值超过目标值130%导致扣分，下一年度将综合考虑各方面因素，科学、合理的设置年度指标值。</w:t>
      </w:r>
    </w:p>
    <w:p>
      <w:pPr>
        <w:pStyle w:val="11"/>
        <w:ind w:firstLine="562"/>
        <w:rPr>
          <w:b/>
          <w:bCs/>
        </w:rPr>
      </w:pPr>
      <w:r>
        <w:rPr>
          <w:rFonts w:hint="eastAsia"/>
          <w:b/>
          <w:bCs/>
        </w:rPr>
        <w:t>（2）同一工作参数设置了多个绩效指标</w:t>
      </w:r>
    </w:p>
    <w:p>
      <w:pPr>
        <w:ind w:firstLine="560"/>
      </w:pPr>
      <w:r>
        <w:rPr>
          <w:rFonts w:hint="eastAsia"/>
        </w:rPr>
        <w:t>由于对预算绩效管理工作学习不够深入，对绩效目标设定把握不够准确，导致同一工作参数设置了多个绩效指标，数据出现交叉重复（《光芒》网站发布信息数量），在后期的工作中，我部将认真学习预算绩效管理工作相关内容，提高绩效目标的编制水平。</w:t>
      </w:r>
    </w:p>
    <w:p>
      <w:pPr>
        <w:pStyle w:val="11"/>
        <w:numPr>
          <w:ilvl w:val="255"/>
          <w:numId w:val="0"/>
        </w:numPr>
        <w:ind w:firstLine="560"/>
        <w:rPr>
          <w:b/>
          <w:bCs/>
        </w:rPr>
      </w:pPr>
      <w:r>
        <w:rPr>
          <w:rFonts w:hint="eastAsia"/>
          <w:b/>
          <w:bCs/>
        </w:rPr>
        <w:t>（3）统计口径有差异导致偏差</w:t>
      </w:r>
    </w:p>
    <w:p>
      <w:pPr>
        <w:ind w:firstLine="560"/>
      </w:pPr>
      <w:r>
        <w:rPr>
          <w:rFonts w:hint="eastAsia"/>
        </w:rPr>
        <w:t>2021年我部《光芒》网站发布信息128条，《光芒》微信公众号点击量为3.6万次，由于统计口径有差异导致偏差，下一年度我部将统一数据统计口径，确保数据的准确性。</w:t>
      </w:r>
    </w:p>
    <w:p>
      <w:pPr>
        <w:numPr>
          <w:ilvl w:val="255"/>
          <w:numId w:val="0"/>
        </w:numPr>
        <w:ind w:firstLine="560"/>
        <w:rPr>
          <w:b/>
          <w:bCs/>
        </w:rPr>
      </w:pPr>
      <w:r>
        <w:rPr>
          <w:rFonts w:hint="eastAsia"/>
          <w:b/>
          <w:bCs/>
        </w:rPr>
        <w:t>（4）出版红色文化论文集</w:t>
      </w:r>
    </w:p>
    <w:p>
      <w:pPr>
        <w:numPr>
          <w:ilvl w:val="255"/>
          <w:numId w:val="0"/>
        </w:numPr>
        <w:ind w:firstLine="560"/>
      </w:pPr>
      <w:r>
        <w:rPr>
          <w:rFonts w:hint="eastAsia"/>
        </w:rPr>
        <w:t>2021年我部未完成</w:t>
      </w:r>
      <w:r>
        <w:t>出版红色文化论文集</w:t>
      </w:r>
      <w:r>
        <w:rPr>
          <w:rFonts w:hint="eastAsia"/>
        </w:rPr>
        <w:t>2部的工作计划，由于出版论文集涉重大党史题材，目前正在审批中。</w:t>
      </w:r>
    </w:p>
    <w:p>
      <w:pPr>
        <w:pStyle w:val="3"/>
        <w:ind w:firstLine="643"/>
      </w:pPr>
      <w:bookmarkStart w:id="75" w:name="_Toc31487"/>
      <w:r>
        <w:rPr>
          <w:rFonts w:hint="eastAsia"/>
        </w:rPr>
        <w:t>（四）项目4－媒体新闻宣传经费（含甘肃省海外社交平台账号宣传专项经费）</w:t>
      </w:r>
      <w:bookmarkEnd w:id="75"/>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媒体新闻宣传经费项目年初预算数430万元，</w:t>
      </w:r>
      <w:r>
        <w:rPr>
          <w:rFonts w:hint="eastAsia"/>
          <w:szCs w:val="28"/>
          <w:lang w:eastAsia="zh-CN"/>
        </w:rPr>
        <w:t>上年结转资金</w:t>
      </w:r>
      <w:r>
        <w:rPr>
          <w:rFonts w:hint="eastAsia"/>
          <w:szCs w:val="28"/>
          <w:lang w:val="en-US" w:eastAsia="zh-CN"/>
        </w:rPr>
        <w:t>33.64万元，</w:t>
      </w:r>
      <w:r>
        <w:rPr>
          <w:rFonts w:hint="eastAsia"/>
          <w:szCs w:val="28"/>
        </w:rPr>
        <w:t>全年预算数</w:t>
      </w:r>
      <w:r>
        <w:rPr>
          <w:rFonts w:hint="eastAsia"/>
          <w:szCs w:val="28"/>
          <w:lang w:val="en-US" w:eastAsia="zh-CN"/>
        </w:rPr>
        <w:t>463.64</w:t>
      </w:r>
      <w:r>
        <w:rPr>
          <w:rFonts w:hint="eastAsia"/>
          <w:szCs w:val="28"/>
        </w:rPr>
        <w:t>万元，全年支出数</w:t>
      </w:r>
      <w:r>
        <w:rPr>
          <w:rFonts w:hint="eastAsia"/>
          <w:szCs w:val="28"/>
          <w:lang w:val="en-US" w:eastAsia="zh-CN"/>
        </w:rPr>
        <w:t>433.29</w:t>
      </w:r>
      <w:r>
        <w:rPr>
          <w:rFonts w:hint="eastAsia"/>
          <w:szCs w:val="28"/>
        </w:rPr>
        <w:t>万元，预算执行率</w:t>
      </w:r>
      <w:r>
        <w:rPr>
          <w:rFonts w:hint="eastAsia"/>
          <w:szCs w:val="28"/>
          <w:lang w:val="en-US" w:eastAsia="zh-CN"/>
        </w:rPr>
        <w:t>93.45</w:t>
      </w:r>
      <w:r>
        <w:rPr>
          <w:szCs w:val="28"/>
        </w:rPr>
        <w:t>%</w:t>
      </w:r>
      <w:r>
        <w:rPr>
          <w:rFonts w:hint="eastAsia"/>
          <w:szCs w:val="28"/>
        </w:rPr>
        <w:t>，指标分值10分，按评分标准得</w:t>
      </w:r>
      <w:r>
        <w:rPr>
          <w:rFonts w:hint="eastAsia"/>
          <w:szCs w:val="28"/>
          <w:lang w:val="en-US" w:eastAsia="zh-CN"/>
        </w:rPr>
        <w:t>9.35</w:t>
      </w:r>
      <w:r>
        <w:rPr>
          <w:rFonts w:hint="eastAsia"/>
          <w:szCs w:val="28"/>
        </w:rPr>
        <w:t>分，得分率9</w:t>
      </w:r>
      <w:r>
        <w:rPr>
          <w:rFonts w:hint="eastAsia"/>
          <w:szCs w:val="28"/>
          <w:lang w:val="en-US" w:eastAsia="zh-CN"/>
        </w:rPr>
        <w:t>3.5</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本项目自评价得分98.6</w:t>
      </w:r>
      <w:r>
        <w:rPr>
          <w:rFonts w:hint="eastAsia"/>
          <w:szCs w:val="28"/>
          <w:lang w:val="en-US" w:eastAsia="zh-CN"/>
        </w:rPr>
        <w:t>8</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加强对我省经济社会发展的宣传，为我省经济社会发展营造良好社会舆论氛围，扩大我省对外影响力和美誉度。</w:t>
      </w:r>
    </w:p>
    <w:p>
      <w:pPr>
        <w:ind w:firstLine="562"/>
        <w:rPr>
          <w:rFonts w:hAnsi="宋体"/>
          <w:szCs w:val="28"/>
        </w:rPr>
      </w:pPr>
      <w:r>
        <w:rPr>
          <w:rFonts w:hint="eastAsia"/>
          <w:b/>
          <w:bCs/>
          <w:szCs w:val="28"/>
        </w:rPr>
        <w:t>实际完成情况：</w:t>
      </w:r>
      <w:r>
        <w:rPr>
          <w:rFonts w:hint="eastAsia"/>
          <w:szCs w:val="28"/>
        </w:rPr>
        <w:t>对中央驻甘媒体深入我省基层和偏远地区开展新闻采访、宣传活动给予补助，确保我省重大活动和新闻的媒体报道及时有效开展，持续扩大我省新闻宣传影响力。全年补助新闻媒体10家，媒体宣传12次，开展新闻发布会1次，重大主题宣传集中采访活动5次，总体实现了预期目标。</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产出指标包括数量指标、质量指标、时效指标3个二级指标，22个三级指标，指标总分值50分，自评得分49.33分，得分率98.66%。指标分析如下：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补助媒体数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10家</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lang w:val="en-US" w:eastAsia="zh-CN"/>
              </w:rPr>
              <w:t>20</w:t>
            </w:r>
            <w:r>
              <w:rPr>
                <w:rFonts w:hint="eastAsia" w:cs="仿宋_GB2312"/>
                <w:color w:val="000000"/>
                <w:sz w:val="24"/>
                <w:szCs w:val="24"/>
              </w:rPr>
              <w:t>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1.35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发稿数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60篇</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购买租用设备种类</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媒体宣传数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通气会举办场次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1.98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新闻发布会场次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重大主题宣传集中采访活动</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补助应补助媒体覆盖率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出差人员保障率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媒体宣传内容合格率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设备购买租用合格率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通气会举办覆盖率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新闻发布会举办规范率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重大主题宣传合格率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重大主题宣传集中采访活动覆盖率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出差报销及时性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购买租用设备及时性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媒体补助拨付及时性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通气会及新闻发布会举办及时性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宣传活动采访完成及时性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49.33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98.66%</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开展与多种媒体与渠道的合作与推送工作，继续加强对我省经济社会发展的宣传，扩大我省对外影响力和美誉度。全年补助主要媒体10家，组织媒体开展宣传12余次，发稿60篇，举办通气会4场、新闻发布会1场，开展重大主题宣传集中采访活动5次，为我省经济社会发展营造良好社会舆论氛围；购买租用设备3种，提高了办公效率；合理使用专项资金，保障人员因公出差，确保了各项业务工作顺利开展。出差次数和通气会举办场次由于实际完成值超过目标值130%导致扣分，指标分值合计20分，按评分标准得19.33分，得分率96.65%。</w:t>
      </w:r>
    </w:p>
    <w:p>
      <w:pPr>
        <w:ind w:firstLine="562"/>
        <w:rPr>
          <w:szCs w:val="28"/>
        </w:rPr>
      </w:pPr>
      <w:r>
        <w:rPr>
          <w:rFonts w:hint="eastAsia"/>
          <w:b/>
          <w:bCs/>
          <w:szCs w:val="28"/>
        </w:rPr>
        <w:t>质量指标：</w:t>
      </w:r>
      <w:r>
        <w:rPr>
          <w:rFonts w:hint="eastAsia"/>
          <w:szCs w:val="28"/>
        </w:rPr>
        <w:t>2021年我部对主要媒体实现了应补尽补，补助应补助媒体覆盖率高达100%，媒体宣传内容合格为100%，重大主题宣传合格率为100%、集中采访活动覆盖率为100%，新闻发布会举办规范，通气会举办覆盖率为100%，主要媒体的有效宣传推动了全省宣传思想战线各项工作始终沿着正确政治方向前进；设备购买租用合格率为100%，出差人员保障率为100%，切实保障了各项工作的顺利开展。质量指标均达到了预期目标值，指标分值合计25分，按评分标准得25分，得分率100%。</w:t>
      </w:r>
    </w:p>
    <w:p>
      <w:pPr>
        <w:ind w:firstLine="562"/>
        <w:rPr>
          <w:b/>
          <w:bCs/>
          <w:szCs w:val="28"/>
        </w:rPr>
      </w:pPr>
      <w:r>
        <w:rPr>
          <w:rFonts w:hint="eastAsia"/>
          <w:b/>
          <w:bCs/>
          <w:szCs w:val="28"/>
        </w:rPr>
        <w:t>时效指标：</w:t>
      </w:r>
      <w:r>
        <w:rPr>
          <w:rFonts w:hint="eastAsia"/>
          <w:szCs w:val="28"/>
        </w:rPr>
        <w:t>2021年我部根据年度工作计划组织新闻媒体完成了宣传活动采访、通气会及新闻发布会、购买租用设备等工作，出差报销及时，媒体补助拨付及时，各项工作均在规定时间内完成。时效指标均达到了预期目标值，指标分值合计5分，按评分标准得5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效益指标包括社会效益指标、可持续影响指标2个二级指标，4个三级指标，指标总分值30分，自评得分30分，得分率100%。指标分析如下：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1275"/>
        <w:gridCol w:w="1335"/>
        <w:gridCol w:w="870"/>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甘肃省美誉度影响提升性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甘肃省社会发展宣传提升性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社会舆论规范性</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规范</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甘肃省对外影响力和美誉度</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持续增强</w:t>
            </w:r>
          </w:p>
        </w:tc>
        <w:tc>
          <w:tcPr>
            <w:tcW w:w="13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3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2021年我部通过组织新闻媒体宣传对内宣传，在脸书（Facebook）、推特（Twitter）、照片墙</w:t>
      </w:r>
      <w:r>
        <w:rPr>
          <w:rFonts w:hint="eastAsia"/>
          <w:szCs w:val="28"/>
          <w:lang w:eastAsia="zh-CN"/>
        </w:rPr>
        <w:t>（</w:t>
      </w:r>
      <w:r>
        <w:rPr>
          <w:rFonts w:hint="eastAsia"/>
          <w:szCs w:val="28"/>
        </w:rPr>
        <w:t>Instagram</w:t>
      </w:r>
      <w:r>
        <w:rPr>
          <w:rFonts w:hint="eastAsia"/>
          <w:szCs w:val="28"/>
          <w:lang w:eastAsia="zh-CN"/>
        </w:rPr>
        <w:t>)</w:t>
      </w:r>
      <w:r>
        <w:rPr>
          <w:rFonts w:hint="eastAsia"/>
          <w:szCs w:val="28"/>
        </w:rPr>
        <w:t>平台上发布内容对外宣传，为我省经济社会发展营造良好社会舆论氛围，扩大了我省对外影响力和美誉度，宣传工作进一步促进了甘肃省的发展。指标分值合计23分，按评分标准得23分，得分率100%。</w:t>
      </w:r>
    </w:p>
    <w:p>
      <w:pPr>
        <w:ind w:firstLine="562"/>
        <w:rPr>
          <w:szCs w:val="28"/>
        </w:rPr>
      </w:pPr>
      <w:r>
        <w:rPr>
          <w:rFonts w:hint="eastAsia"/>
          <w:b/>
          <w:bCs/>
          <w:szCs w:val="28"/>
        </w:rPr>
        <w:t>可持续影响指标：</w:t>
      </w:r>
      <w:r>
        <w:rPr>
          <w:rFonts w:hint="eastAsia"/>
          <w:szCs w:val="28"/>
        </w:rPr>
        <w:t>2021年我部建立全省外宣工作联席会议机制，召开全省外宣工作会推进落实，省政府新闻办举办105场新闻发布会，着力传递甘肃声音。举行中国—乌克兰“习近平治国理政思想”线上国际高端论坛、“走进九色甘南”巴黎主题展、海外媒体甘肃采访、外国网红看甘肃等活动20多场次，建立文化外宣资源库，在全球减贫伙伴研讨会发布“甘南实践”，编写《从贫困到富饶：甘肃美丽乡村蜕变记》（中英文版），利用敦煌文博会、公祭伏羲大典等节会做好对外宣介，扩大“交响丝路 如意甘肃”知名度和影响力。打造国际传播矩阵，建成甘肃外宣英文门户网站，甘肃海外社交平台账号粉丝量超43万，覆盖45个国家和地区，国际传播能力有力提升，甘肃省对外影响力和美誉度持续增强。指标分值7分，按评分标准得7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满意度指标包括服务对象满意度1个三级指标，指标分值10分，自评得分10分，得分率100%。指标分析如下：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受益对象满意度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优化专业团队沟通，进行内容建设和多渠道推广等运维工作，开展与多种媒体与渠道的合作与推送工作。继续加强对我省经济社会发展的宣传，为我省经济社会发展营造良好社会舆论氛围，扩大我省对外影响力和美誉度，得到了人民群众的一致好评。</w:t>
      </w:r>
      <w:r>
        <w:rPr>
          <w:rFonts w:hint="eastAsia" w:cs="仿宋_GB2312"/>
          <w:color w:val="333333"/>
          <w:szCs w:val="28"/>
        </w:rPr>
        <w:t>受益对象满意度为90%，达到了预期目标值。指标分值合计10分，按评分标准得10分，得分率100%。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76" w:name="_Toc17099"/>
      <w:r>
        <w:rPr>
          <w:rFonts w:hint="eastAsia"/>
        </w:rPr>
        <w:t>（五）项目5－哲学社会科学规划研究培训和基地建设经费</w:t>
      </w:r>
      <w:bookmarkEnd w:id="76"/>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哲学社会科学规划研究培训和基地建设经费项目年初预算数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600万元，全年支出数545.23万元，预算执行率90.87</w:t>
      </w:r>
      <w:r>
        <w:rPr>
          <w:szCs w:val="28"/>
        </w:rPr>
        <w:t>%</w:t>
      </w:r>
      <w:r>
        <w:rPr>
          <w:rFonts w:hint="eastAsia"/>
          <w:szCs w:val="28"/>
        </w:rPr>
        <w:t>，指标分值10分，按评分标准得9.09分，得分率90.9%。</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本项目自评价得分97.66分，自评结果为“优”。主要任务完成情况分析如下：</w:t>
      </w:r>
    </w:p>
    <w:p>
      <w:pPr>
        <w:ind w:firstLine="562"/>
        <w:rPr>
          <w:szCs w:val="28"/>
        </w:rPr>
      </w:pPr>
      <w:r>
        <w:rPr>
          <w:rFonts w:hint="eastAsia"/>
          <w:b/>
          <w:bCs/>
          <w:szCs w:val="28"/>
        </w:rPr>
        <w:t>预期目标：</w:t>
      </w:r>
      <w:r>
        <w:rPr>
          <w:rFonts w:hint="eastAsia"/>
          <w:szCs w:val="28"/>
        </w:rPr>
        <w:t>加强哲学社会科学研究，不断增强研究水平，逐步扩大我省社科研究的社会影响力，为省委省政府和有关部门决策提供参考和服务，为我省经济社会发展提供强有力的智力支撑；提高全省哲学社会科学教学科研骨干的政治理论水平和业务素质；加强我省现代智库建设，促进学科体系、学术观点、科研方法创新，推动全省社会科学研究与发展。</w:t>
      </w:r>
    </w:p>
    <w:p>
      <w:pPr>
        <w:ind w:firstLine="562"/>
        <w:rPr>
          <w:rFonts w:hAnsi="宋体"/>
          <w:szCs w:val="28"/>
        </w:rPr>
      </w:pPr>
      <w:r>
        <w:rPr>
          <w:rFonts w:hint="eastAsia"/>
          <w:b/>
          <w:bCs/>
          <w:szCs w:val="28"/>
        </w:rPr>
        <w:t>实际完成情况：</w:t>
      </w:r>
      <w:r>
        <w:rPr>
          <w:rFonts w:hint="eastAsia"/>
          <w:szCs w:val="28"/>
        </w:rPr>
        <w:t>持续加强我省哲学社会科学研究，及时向全省各级社科研究单位、省内各高等院校出题目、压担子，引导全省哲学社科研究专家围绕省委省政府工作大局开展研究，着力为省委省政府领导决策参考提供有价值的决策咨询报告，其中5篇决策咨询报告获得省委省政府主要领导肯定性批示；组织开展了全省社科教学科研骨干研修班，提升了全省社科研究工作者、高校思想政治课老师的教学科研水平；研究起草了甘肃省第一批新型高端智库建设工作实施方案，着力推动我省智库建设上台阶。</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pPr>
      <w:r>
        <w:rPr>
          <w:rFonts w:hint="eastAsia"/>
          <w:szCs w:val="28"/>
          <w:lang w:bidi="ar"/>
        </w:rPr>
        <w:t>产出指标包括数量指标、质量指标、时效指标3个二级指标，12个三级指标，指标总分值50分，自评得分48.57分，得分率97.14%。指标分析如下：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0"/>
        <w:gridCol w:w="1080"/>
        <w:gridCol w:w="1009"/>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省哲学社会科学骨干研修班期数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≥3期</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4期</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3.96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省哲学社会科学骨干研修班人数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≥40人</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省哲学社会科学项目评审专家数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≥7人</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≥80个</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220个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0.61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省哲学社会重大基地数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=5个</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省哲学社会科学骨干研修班合格率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省哲学社会科学骨干研修班批次完成率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省哲学社会科学项目评审准确率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省哲学社会重大基地资助金保障率</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省哲学社会科学骨干研修班开展及时性</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省哲学社会科学项目评审及时性</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省哲学社会重大基地资助金发放及时性</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48.57</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97.14%</w:t>
            </w:r>
          </w:p>
        </w:tc>
      </w:tr>
    </w:tbl>
    <w:p>
      <w:pPr>
        <w:ind w:firstLine="644" w:firstLineChars="229"/>
        <w:rPr>
          <w:color w:val="FF0000"/>
          <w:lang w:bidi="ar"/>
        </w:rPr>
      </w:pPr>
      <w:r>
        <w:rPr>
          <w:rFonts w:hint="eastAsia"/>
          <w:b/>
          <w:bCs/>
          <w:szCs w:val="28"/>
          <w:lang w:bidi="ar"/>
        </w:rPr>
        <w:t>数量指标：</w:t>
      </w:r>
      <w:r>
        <w:rPr>
          <w:rFonts w:hint="eastAsia"/>
          <w:szCs w:val="28"/>
          <w:lang w:bidi="ar"/>
        </w:rPr>
        <w:t>2021年我部以省社科规划项目为抓手，引导全省哲学社会科学人才加强理论研究，推出一批高质量研究成果，不断增强哲学社会科学研究水平，逐步扩大我省社科研究的社会影响力，为省委省政府和有关部门决策提供参考和服务，为我省经济社会发展提供强有力的智力支撑；通过开展哲学社会科学教学科研骨干研修工作，从思想上、学习上、工作上对我省哲学社会科学教学科研骨干进行培训，逐步提高政治理论水平和业务素质；以重大研究基地为平台，积极开展重大理论和现实问题研究，不断加强我省现代智库建设，逐步促进学科体系、学术观点、科研方法创新，推动全省哲学社会科学研究与发展。全年组织40余人开展省哲学社会科学骨干研修班4期，完成省哲学社会科学项目规划220个，项目评审专家40余人完成了相关评审工作，完成省哲学社会重大基地建设5个。省哲学社会科学骨干研修班期数、省哲学社会科学项目评审专家数及省哲学社会科学项目数由于实际完成值超过目标值130%导致扣分，指标分值合计17分，按评分标准得15.57分，得分率91.59%。</w:t>
      </w:r>
    </w:p>
    <w:p>
      <w:pPr>
        <w:ind w:firstLine="562"/>
        <w:rPr>
          <w:szCs w:val="28"/>
        </w:rPr>
      </w:pPr>
      <w:r>
        <w:rPr>
          <w:rFonts w:hint="eastAsia"/>
          <w:b/>
          <w:bCs/>
          <w:szCs w:val="28"/>
        </w:rPr>
        <w:t>质量指标：</w:t>
      </w:r>
      <w:r>
        <w:rPr>
          <w:rFonts w:hint="eastAsia"/>
          <w:szCs w:val="28"/>
        </w:rPr>
        <w:t>2021年我部坚持围绕中心、服务大局，坚持与时俱进、开拓创新，坚持理论联系实际，突出前瞻性、紧迫性和全局性，引导广大哲学社会科学工作者以巩固马克思主义在意识形态领域的指导地位、巩固全党全国人民团结奋斗的共同思想基础为根本职责，全年各项工作取得新成效。其中，省哲学社会重大基地资助金保障率、省哲学社会科学项目评审准确率、省哲学社会科学骨干研修班批次完成率、省哲学社会科学骨干研修班合格率均为100%。质量指标均达到了预期目标值，指标分值合计24分，按评分标准得24分，得分率100%。</w:t>
      </w:r>
    </w:p>
    <w:p>
      <w:pPr>
        <w:ind w:firstLine="562"/>
        <w:rPr>
          <w:b/>
          <w:bCs/>
          <w:szCs w:val="28"/>
        </w:rPr>
      </w:pPr>
      <w:r>
        <w:rPr>
          <w:rFonts w:hint="eastAsia"/>
          <w:b/>
          <w:bCs/>
          <w:szCs w:val="28"/>
        </w:rPr>
        <w:t>时效指标：</w:t>
      </w:r>
      <w:r>
        <w:rPr>
          <w:rFonts w:hint="eastAsia"/>
          <w:szCs w:val="28"/>
        </w:rPr>
        <w:t>2021年我部根据年度工作计划组织理论处完成了省哲学社会科学骨干研修班培训、省哲学社会科学项目评审等工作，省哲学社会重大基地资助金发放及时，各项工作均在规定时间内完成。时效指标均达到了预期目标值，指标分值合计9分，按评分标准得9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效益指标包括社会效益指标、可持续影响指标2个二级指标，4个三级指标，指标总分值30分，自评得分30分，得分率100%。指标分析如下：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5"/>
        <w:gridCol w:w="1170"/>
        <w:gridCol w:w="1125"/>
        <w:gridCol w:w="780"/>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服务社会决策提升性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全省社科理论研究水平提升性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省社科研究的社会影响力提升性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可持续发展制度</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1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以重大研究基地为平台，积极开展重大理论和现实问题研究，不断加强我省现代智库建设，逐步促进学科体系、学术观点、科研方法创新，推动全省哲学社会科学研究与发展，促进了社会服务决策的提升，全省社科理论研究水平、省社科研究的社会影响力得到进一步提升。指标分值合计22分，按评分标准得22分，得分率100%。</w:t>
      </w:r>
    </w:p>
    <w:p>
      <w:pPr>
        <w:ind w:firstLine="562"/>
        <w:rPr>
          <w:szCs w:val="28"/>
        </w:rPr>
      </w:pPr>
      <w:r>
        <w:rPr>
          <w:rFonts w:hint="eastAsia"/>
          <w:b/>
          <w:bCs/>
          <w:szCs w:val="28"/>
        </w:rPr>
        <w:t>可持续影响指标：</w:t>
      </w:r>
      <w:r>
        <w:rPr>
          <w:rFonts w:hint="eastAsia"/>
          <w:szCs w:val="28"/>
        </w:rPr>
        <w:t>针对我省哲学社会科学研究重点工作，我部严格按照《甘肃省哲学社会科学规划项目管理办法》（省社科规划办〔2018〕8号）、《中共甘肃省委关于加快构建中国特色哲学社会科学的实施意见》（甘发〔2018〕4号）等相关制度执行，保障了我省哲学社会科学研究重点工作可持续发展。指标分值8分，按评分标准得8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满意度指标包括社科理论界满意度1个三级指标，指标分值10分，自评得分10分，得分率100%。指标分析如下：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社科理论界满意度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组织全省社科理论界专家学者围绕“积极融入一带一路建设”“碳达峰碳中和问题”“学习贯彻党的十九届六中全会精神”等重大主题开展理论研究，形成高质量决策咨询报告，择优编印了《咨政建言》，并呈送省委常委、省政协主席、省政府副省长及省直有关部门领导同志参阅。其中，省委党校宋圭武教授撰写的《本轮疫情在甘肃爆发风险分析及若干防控建议》等5篇文章，获得了省委主要领导同志的肯定性批示，全年工作成果得到了社科理论界的一致认可。</w:t>
      </w:r>
      <w:r>
        <w:rPr>
          <w:rFonts w:hint="eastAsia" w:cs="仿宋_GB2312"/>
          <w:color w:val="333333"/>
          <w:szCs w:val="28"/>
        </w:rPr>
        <w:t>社科理论界满意度为99%，达到了预期目标值。指标分值合计10分，按评分标准得10分，得分率100%。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省哲学社会科学项目评审专家数和省哲学社会科学项目数：</w:t>
      </w:r>
      <w:r>
        <w:rPr>
          <w:rFonts w:hint="eastAsia"/>
        </w:rPr>
        <w:t>2021省哲学社会科学项目评审专家40人，省哲学社会科学项目220个，由于年度指标值设置过低导致偏差。下一年度我部将综合考虑各方面因素，科学、合理的设置年度指标值。</w:t>
      </w:r>
    </w:p>
    <w:p>
      <w:pPr>
        <w:pStyle w:val="3"/>
        <w:ind w:firstLine="643"/>
      </w:pPr>
      <w:bookmarkStart w:id="77" w:name="_Toc4545"/>
      <w:r>
        <w:rPr>
          <w:rFonts w:hint="eastAsia"/>
        </w:rPr>
        <w:t>（六）项目6－省“扫黄打非”专项</w:t>
      </w:r>
      <w:bookmarkEnd w:id="77"/>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省“扫黄打非”专项年初预算数150万元，</w:t>
      </w:r>
      <w:r>
        <w:rPr>
          <w:rFonts w:hint="eastAsia"/>
          <w:szCs w:val="28"/>
          <w:lang w:eastAsia="zh-CN"/>
        </w:rPr>
        <w:t>上年结转资金</w:t>
      </w:r>
      <w:r>
        <w:rPr>
          <w:rFonts w:hint="eastAsia"/>
          <w:szCs w:val="28"/>
          <w:lang w:val="en-US" w:eastAsia="zh-CN"/>
        </w:rPr>
        <w:t>102.9万元，</w:t>
      </w:r>
      <w:r>
        <w:rPr>
          <w:rFonts w:hint="eastAsia"/>
          <w:szCs w:val="28"/>
        </w:rPr>
        <w:t>全年预算数</w:t>
      </w:r>
      <w:r>
        <w:rPr>
          <w:rFonts w:hint="eastAsia"/>
          <w:szCs w:val="28"/>
          <w:lang w:val="en-US" w:eastAsia="zh-CN"/>
        </w:rPr>
        <w:t>252.9</w:t>
      </w:r>
      <w:r>
        <w:rPr>
          <w:rFonts w:hint="eastAsia"/>
          <w:szCs w:val="28"/>
        </w:rPr>
        <w:t>万元，全年支出数</w:t>
      </w:r>
      <w:r>
        <w:rPr>
          <w:rFonts w:hint="eastAsia"/>
          <w:szCs w:val="28"/>
          <w:lang w:val="en-US" w:eastAsia="zh-CN"/>
        </w:rPr>
        <w:t>154.82</w:t>
      </w:r>
      <w:r>
        <w:rPr>
          <w:rFonts w:hint="eastAsia"/>
          <w:szCs w:val="28"/>
        </w:rPr>
        <w:t>万元，预算执行率</w:t>
      </w:r>
      <w:r>
        <w:rPr>
          <w:rFonts w:hint="eastAsia"/>
          <w:szCs w:val="28"/>
          <w:lang w:val="en-US" w:eastAsia="zh-CN"/>
        </w:rPr>
        <w:t>61.22</w:t>
      </w:r>
      <w:r>
        <w:rPr>
          <w:szCs w:val="28"/>
        </w:rPr>
        <w:t>%</w:t>
      </w:r>
      <w:r>
        <w:rPr>
          <w:rFonts w:hint="eastAsia"/>
          <w:szCs w:val="28"/>
        </w:rPr>
        <w:t>，指标分值10分，按评分标准得</w:t>
      </w:r>
      <w:r>
        <w:rPr>
          <w:rFonts w:hint="eastAsia"/>
          <w:szCs w:val="28"/>
          <w:lang w:val="en-US" w:eastAsia="zh-CN"/>
        </w:rPr>
        <w:t>6.12</w:t>
      </w:r>
      <w:r>
        <w:rPr>
          <w:rFonts w:hint="eastAsia"/>
          <w:szCs w:val="28"/>
        </w:rPr>
        <w:t>分，得分率</w:t>
      </w:r>
      <w:r>
        <w:rPr>
          <w:rFonts w:hint="eastAsia"/>
          <w:szCs w:val="28"/>
          <w:lang w:val="en-US" w:eastAsia="zh-CN"/>
        </w:rPr>
        <w:t>61.2</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94.2</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严厉打击政治性、宗教类特别是涉藏、涉疆、“三股势力”类非法出版物，坚决封堵互联网有害出版及信息，严厉打击各类淫秽色情有害信息，严查假记者、假新闻、假记者站等。坚决查处从事非法印刷发行黑窝点，取缔游商地摊，收缴非法出版物，侦办大案要案，严惩违法犯罪分子。真正做到守土有责、守土负责、守土尽责，以“扫黄打非”工作新成效维护群众权益、净化社会环境、促进和谐稳定。</w:t>
      </w:r>
    </w:p>
    <w:p>
      <w:pPr>
        <w:ind w:firstLine="562"/>
        <w:rPr>
          <w:rFonts w:hAnsi="宋体"/>
          <w:szCs w:val="28"/>
        </w:rPr>
      </w:pPr>
      <w:r>
        <w:rPr>
          <w:rFonts w:hint="eastAsia"/>
          <w:b/>
          <w:bCs/>
          <w:szCs w:val="28"/>
        </w:rPr>
        <w:t>实际完成情况：</w:t>
      </w:r>
      <w:r>
        <w:rPr>
          <w:rFonts w:hint="eastAsia"/>
          <w:szCs w:val="28"/>
        </w:rPr>
        <w:t>在全国两会、国庆节、建党100周年以及其他敏感时间节点加大网上网下清查力度，切实提高网络涉黄涉非问题的发现、处置、打击能力。及时掌握舆情动态，对涉“扫黄打非”偶发性事件和舆论关注热点问题，依法快速处置。不断推动“扫黄打非”进基层与各级综治、精神文明创建、公共文化服务平台特别是与新时代文明实践中心试点工作融合融入。</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产出指标包括数量指标、质量指标、时效指标3个二级指标，27个三级指标，指标总分值50分，自评得分</w:t>
      </w:r>
      <w:r>
        <w:rPr>
          <w:rFonts w:hint="eastAsia"/>
          <w:szCs w:val="28"/>
          <w:lang w:val="en-US" w:eastAsia="zh-CN" w:bidi="ar"/>
        </w:rPr>
        <w:t>48.08</w:t>
      </w:r>
      <w:r>
        <w:rPr>
          <w:rFonts w:hint="eastAsia"/>
          <w:szCs w:val="28"/>
          <w:lang w:bidi="ar"/>
        </w:rPr>
        <w:t>分，得分率</w:t>
      </w:r>
      <w:r>
        <w:rPr>
          <w:rFonts w:hint="eastAsia"/>
          <w:szCs w:val="28"/>
          <w:lang w:val="en-US" w:eastAsia="zh-CN" w:bidi="ar"/>
        </w:rPr>
        <w:t>96.16</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2021年“扫黄打非”骨干培训次数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2021年“扫黄打非”骨干培训人数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≥260人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0.19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2021年非法出版物鉴定种类</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≥40种</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69种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0.89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“扫黄打非”电视电话会议次数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非法出版传播活动重点案件办理数量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160起</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甘肃扫黄打非公众号、在线举报平台等网络信息平台的运行维护次数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互联网“扫黄打非”网络监测运行维护平台数量</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开展打击侵权盗版“绿书签”系列宣传活动</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全省“扫黄打非”调研次数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全省“扫黄打非”进基层推进会次数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完善“扫黄打非”进基层示范点建设</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30个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制作“扫黄打非”宣传片、公益广告等媒体宣传次数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≥4次</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出版物市场检查覆盖率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会议成果应用率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媒体宣传覆盖率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=99%</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敏感案件处置率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培训考核合格率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社会宣传活动覆盖率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网络平台监测有效率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重点地区基层站点标准化建设合格率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“扫黄打非”会议召开及时性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“扫黄打非”宣传及时性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非法出版物鉴定及时性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扫黄打非案件处理及时性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扫黄打非网络监测及时性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组织调研督查及时性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组织培训及时性</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48.08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96.16%</w:t>
            </w:r>
          </w:p>
        </w:tc>
      </w:tr>
    </w:tbl>
    <w:p>
      <w:pPr>
        <w:ind w:firstLine="562"/>
        <w:rPr>
          <w:color w:val="FF0000"/>
          <w:lang w:bidi="ar"/>
        </w:rPr>
      </w:pPr>
      <w:r>
        <w:rPr>
          <w:rFonts w:hint="eastAsia"/>
          <w:b/>
          <w:bCs/>
          <w:szCs w:val="28"/>
          <w:lang w:bidi="ar"/>
        </w:rPr>
        <w:t>数量指标：</w:t>
      </w:r>
      <w:r>
        <w:rPr>
          <w:rFonts w:hint="eastAsia"/>
          <w:szCs w:val="28"/>
          <w:lang w:bidi="ar"/>
        </w:rPr>
        <w:t>2021年我部组织全省“扫黄打非”电视电话会议2次；非法出版传播活动重点案件办理数量160件，其中全国挂牌案件6起；甘肃扫黄打非公众号、在线举报平台等网络信息平台的运行维护次数27次，与专业互联网信息公司建立微信公众号和在线举报平台维护协议，定期对相关信息平台开展维护工作，现已完成全年绩效数量指标，后续继续跟进维护工作；互联网“扫黄打非”网络监测运行维护平台数量1个，与国家计算机网络与信息安全管理中心甘肃分中心签订网络监测合同，开展网上淫秽色情等各类有害信息的监测处置工作；开展打击侵权盗版“绿书签”系列宣传活动2次，“4˙23”世界读书日期间，在白银举办2021年全省打击侵权盗版集中活动暨“陇原护苗·绿书签行动”启动仪式，在金昌召开“陇原护苗˙文明实践”活动启动仪式；全省“扫黄打非”调研次数1次，已完成调研报告提交部政策研究室；全省“扫黄打非”进基层推进会次数1次，于10月12日在金昌市召开全省“扫黄打非”进基层推进会；完善提升“扫黄打非”进基层示范点建设，结合第五批全国“扫黄打非”基层站点示范点、示范标兵的评选工作，完善提升23个市州推荐站点，全省“扫黄打非”进基层推进会观摩活动中提升4个基层站点，开展观摩活动；通过制作“扫黄打非”宣传片、公益广告等开展媒体宣传4次，开展大型媒体宣传2次，净化了社会环境；全省“扫黄打非”工作专题业务培训班于2021年12月6日在兰州举办，受新冠肺炎疫情影响，培训人员数量有所压缩，共培训50人。数量指标除骨干培训人数外其余指标均达到了预期目标值，2021年非法出版物鉴定种类和非法出版传播活动重点案件办理数量由于实际完成值超过目标值130%导致扣分，指标分值合计22分，按评分标准得20.08分，得分率91.27%。</w:t>
      </w:r>
    </w:p>
    <w:p>
      <w:pPr>
        <w:ind w:firstLine="562"/>
        <w:rPr>
          <w:szCs w:val="28"/>
        </w:rPr>
      </w:pPr>
      <w:r>
        <w:rPr>
          <w:rFonts w:hint="eastAsia"/>
          <w:b/>
          <w:bCs/>
          <w:szCs w:val="28"/>
        </w:rPr>
        <w:t>质量指标：</w:t>
      </w:r>
      <w:r>
        <w:rPr>
          <w:rFonts w:hint="eastAsia"/>
          <w:szCs w:val="28"/>
        </w:rPr>
        <w:t>2021年省“扫黄打非”工作小组办公室结合年度工作重点任务和工作实际，较好地落实了中央、省委关于“扫黄打非”工作的各项任务，全年各项工作取得新成效。其中，出版物市场检查覆盖率达到80%，媒体宣传覆盖率达到90%，社会宣传活动覆盖率为95%，敏感案件处置率为95%，会议成果应用率、培训考核合格率、网络平台监测有效率、重点地区基层站点标准化建设合格率均为100%。质量指标均达到了预期目标值，指标分值合计21分，按评分标准得21分，得分率100%。</w:t>
      </w:r>
    </w:p>
    <w:p>
      <w:pPr>
        <w:ind w:firstLine="562"/>
        <w:rPr>
          <w:b/>
          <w:bCs/>
          <w:szCs w:val="28"/>
        </w:rPr>
      </w:pPr>
      <w:r>
        <w:rPr>
          <w:rFonts w:hint="eastAsia"/>
          <w:b/>
          <w:bCs/>
          <w:szCs w:val="28"/>
        </w:rPr>
        <w:t>时效指标：</w:t>
      </w:r>
      <w:r>
        <w:rPr>
          <w:rFonts w:hint="eastAsia"/>
          <w:szCs w:val="28"/>
        </w:rPr>
        <w:t>2021年我部根据年度工作计划组织反非处完成了“扫黄打非”会议、“扫黄打非”宣传、扫黄打非案件处理、扫黄打非网络监测、非法出版物鉴定、调研督查、培训等工作，各项工作均在规定时间内完成。时效指标均达到了预期目标值，指标分值合计7分，按评分标准得7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效益指标包括社会效益指标、可持续影响指标2个二级指标，4个三级指标，指标总分值30分，自评得分30分，得分率100%。指标分析如下：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0"/>
        <w:gridCol w:w="1230"/>
        <w:gridCol w:w="945"/>
        <w:gridCol w:w="585"/>
        <w:gridCol w:w="66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“扫黄打非”社会大众政策宣传知晓率</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社会涉黄涉非不良风气改善</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改善</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“扫黄打非”工作</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持续推动</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营造良好文化氛围</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持续推动</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5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我部通过制作公益宣传片、发放宣传资料等形式，向群众宣传“扫黄打非”的相关政策，让社会大众对“扫黄打非”有更深次的了解，“扫黄打非”社会大众政策宣传知晓率为75%，增强了社会对“扫黄打非”的广泛关注，促使社会大众积极参与到“扫黄打非”工作中来，社会涉黄涉非不良风气得到改善。社会效益指标均达到了既定目标值，指标分值合计16分，按评分标准得16分，得分率100%。</w:t>
      </w:r>
    </w:p>
    <w:p>
      <w:pPr>
        <w:ind w:firstLine="562"/>
        <w:rPr>
          <w:szCs w:val="28"/>
        </w:rPr>
      </w:pPr>
      <w:r>
        <w:rPr>
          <w:rFonts w:hint="eastAsia"/>
          <w:b/>
          <w:bCs/>
          <w:szCs w:val="28"/>
        </w:rPr>
        <w:t>可持续影响指标：</w:t>
      </w:r>
      <w:r>
        <w:rPr>
          <w:rFonts w:hint="eastAsia"/>
          <w:szCs w:val="28"/>
        </w:rPr>
        <w:t>为适应“扫黄打非”工作新形势、新要求，进一步规范和加强“扫黄打非”专项资金使用管理，提高资金使用效益，根据国家有关法律法规和财政管理规定，结合“扫黄打非”工作实际，国家财政部专门印发《“扫黄打非”专项资金管理办法》。我省参照该办法执行省级“扫黄打非”专项经费的管理与使用，坚持“统一管理、突出重点、专款专用、厉行节约、注重绩效、强化监督”的原则，做好年度工作计划和年度资金预算安排，保障了“扫黄打非”工作持续推动，为持续营造良好文化氛围提供了资金支撑。可持续影响指标均达到了既定目标值，指标分值14分，按评分标准得14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满意度指标包括社会大众综合满意度1个三级指标，指标分值10分，自评得分10分，得分率100%。指标分析如下：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社会大众综合满意度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通过“扫黄打非”主题宣传活动，净化了辖区居民的社会生活环境，有效提高了“扫黄打非”的知晓率、参与度、满意度，形成了“扫黄打非、人人参与”的良好态势，全年“扫黄打非”工作成果得到了社会大众的一致认可。</w:t>
      </w:r>
      <w:r>
        <w:rPr>
          <w:rFonts w:hint="eastAsia" w:cs="仿宋_GB2312"/>
          <w:color w:val="333333"/>
          <w:szCs w:val="28"/>
        </w:rPr>
        <w:t>社会大众综合满意度为90%，达到了预期目标值。指标分值10分，按评分标准得10分，得分率100%。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（1）2021年“扫黄打非”骨干培训人数</w:t>
      </w:r>
    </w:p>
    <w:p>
      <w:pPr>
        <w:ind w:firstLine="560"/>
      </w:pPr>
      <w:r>
        <w:rPr>
          <w:rFonts w:hint="eastAsia"/>
        </w:rPr>
        <w:t>2021年“扫黄打非”骨干培训人数为50人，由于今年受疫情影响，减少人员聚集，部分培训计划取消导致偏差。下一年度我部将采取线上线下相结合的方式进行培训，保质保量完成年度培训工作任务。</w:t>
      </w:r>
    </w:p>
    <w:p>
      <w:pPr>
        <w:ind w:firstLine="562"/>
        <w:rPr>
          <w:b/>
          <w:bCs/>
        </w:rPr>
      </w:pPr>
      <w:r>
        <w:rPr>
          <w:rFonts w:hint="eastAsia"/>
          <w:b/>
          <w:bCs/>
        </w:rPr>
        <w:t>（2）非法出版传播活动重点案件办理数量</w:t>
      </w:r>
    </w:p>
    <w:p>
      <w:pPr>
        <w:ind w:firstLine="560"/>
      </w:pPr>
      <w:r>
        <w:rPr>
          <w:rFonts w:hint="eastAsia"/>
        </w:rPr>
        <w:t>2021年非法出版传播活动重点案件办理160起，由于年度指标值设置过低导致偏差。下一年度将综合考虑各方面因素，科学、合理的设置年度指标值。</w:t>
      </w:r>
    </w:p>
    <w:p>
      <w:pPr>
        <w:numPr>
          <w:ilvl w:val="255"/>
          <w:numId w:val="0"/>
        </w:numPr>
        <w:ind w:firstLine="562" w:firstLineChars="200"/>
        <w:rPr>
          <w:b/>
          <w:bCs/>
        </w:rPr>
      </w:pPr>
      <w:r>
        <w:rPr>
          <w:rFonts w:hint="eastAsia"/>
          <w:b/>
          <w:bCs/>
        </w:rPr>
        <w:t>（3）预算执行率</w:t>
      </w:r>
    </w:p>
    <w:p>
      <w:pPr>
        <w:numPr>
          <w:ilvl w:val="255"/>
          <w:numId w:val="0"/>
        </w:numPr>
        <w:ind w:firstLine="560" w:firstLineChars="200"/>
      </w:pPr>
      <w:r>
        <w:rPr>
          <w:rFonts w:hint="eastAsia"/>
        </w:rPr>
        <w:t>省“扫黄打非”专项</w:t>
      </w:r>
      <w:r>
        <w:rPr>
          <w:rFonts w:hint="eastAsia"/>
          <w:lang w:eastAsia="zh-CN"/>
        </w:rPr>
        <w:t>预算执行率为</w:t>
      </w:r>
      <w:r>
        <w:rPr>
          <w:rFonts w:hint="eastAsia"/>
          <w:lang w:val="en-US" w:eastAsia="zh-CN"/>
        </w:rPr>
        <w:t>61.22%，</w:t>
      </w:r>
      <w:r>
        <w:rPr>
          <w:rFonts w:hint="eastAsia"/>
          <w:lang w:eastAsia="zh-CN"/>
        </w:rPr>
        <w:t>由于</w:t>
      </w:r>
      <w:r>
        <w:rPr>
          <w:rFonts w:hint="eastAsia"/>
        </w:rPr>
        <w:t>受新冠疫情突发情况的影响，“扫黄打非”进基层推进会及业务培训班等大项压缩参会人数及推迟举办时间，造成经费结余、支出缓慢</w:t>
      </w:r>
      <w:r>
        <w:rPr>
          <w:rFonts w:hint="eastAsia"/>
          <w:lang w:eastAsia="zh-CN"/>
        </w:rPr>
        <w:t>；</w:t>
      </w:r>
      <w:r>
        <w:rPr>
          <w:rFonts w:hint="eastAsia"/>
        </w:rPr>
        <w:t>部分已签订合同项目，支出按照合同完成进度执行，尾款需跨年支出，造成现有经费支出缓慢。下一步，我部将严格落实预算绩效管理规定，精准分配预算，对所列预算项目的绩效目标开展自行监控，动态跟踪掌握资金使用、项目实施、绩效目标执行情况，将不断优化项目经费使用配置，提高预算执行率。</w:t>
      </w:r>
    </w:p>
    <w:p>
      <w:pPr>
        <w:pStyle w:val="3"/>
        <w:ind w:firstLine="643"/>
      </w:pPr>
      <w:bookmarkStart w:id="78" w:name="_Toc578"/>
      <w:r>
        <w:rPr>
          <w:rFonts w:hint="eastAsia"/>
        </w:rPr>
        <w:t>（七）项目7－《陇右文库》编纂经费</w:t>
      </w:r>
      <w:bookmarkEnd w:id="78"/>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《陇右文库》编纂经费项目年初预算数</w:t>
      </w:r>
      <w:r>
        <w:rPr>
          <w:rFonts w:hint="eastAsia"/>
          <w:szCs w:val="28"/>
          <w:lang w:eastAsia="zh-CN"/>
        </w:rPr>
        <w:t>、</w:t>
      </w:r>
      <w:r>
        <w:rPr>
          <w:rFonts w:hint="eastAsia"/>
          <w:szCs w:val="28"/>
        </w:rPr>
        <w:t>全年预算数</w:t>
      </w:r>
      <w:r>
        <w:rPr>
          <w:rFonts w:hint="eastAsia"/>
          <w:szCs w:val="28"/>
          <w:lang w:eastAsia="zh-CN"/>
        </w:rPr>
        <w:t>均为</w:t>
      </w:r>
      <w:r>
        <w:rPr>
          <w:szCs w:val="28"/>
        </w:rPr>
        <w:t>200</w:t>
      </w:r>
      <w:r>
        <w:rPr>
          <w:rFonts w:hint="eastAsia"/>
          <w:szCs w:val="28"/>
        </w:rPr>
        <w:t>万元，全年支出数</w:t>
      </w:r>
      <w:r>
        <w:rPr>
          <w:szCs w:val="28"/>
        </w:rPr>
        <w:t>200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99</w:t>
      </w:r>
      <w:r>
        <w:rPr>
          <w:rFonts w:hint="eastAsia"/>
          <w:szCs w:val="28"/>
        </w:rPr>
        <w:t>分，自评结果为“优”。主要任务完成情况分析如下：</w:t>
      </w:r>
    </w:p>
    <w:p>
      <w:pPr>
        <w:ind w:firstLine="562"/>
        <w:rPr>
          <w:szCs w:val="28"/>
        </w:rPr>
      </w:pPr>
      <w:r>
        <w:rPr>
          <w:rFonts w:hint="eastAsia"/>
          <w:b/>
          <w:bCs/>
          <w:szCs w:val="28"/>
        </w:rPr>
        <w:t>预期目标：</w:t>
      </w:r>
      <w:r>
        <w:rPr>
          <w:szCs w:val="28"/>
        </w:rPr>
        <w:t>2021年底前，完成第一子库《方志库（二）》101册和第二子库《著作库》101册编纂出版任务。</w:t>
      </w:r>
    </w:p>
    <w:p>
      <w:pPr>
        <w:ind w:firstLine="562"/>
        <w:rPr>
          <w:szCs w:val="28"/>
        </w:rPr>
      </w:pPr>
      <w:r>
        <w:rPr>
          <w:rFonts w:hint="eastAsia"/>
          <w:b/>
          <w:bCs/>
          <w:szCs w:val="28"/>
        </w:rPr>
        <w:t>实际完成情况：</w:t>
      </w:r>
      <w:r>
        <w:rPr>
          <w:rFonts w:hint="eastAsia"/>
          <w:szCs w:val="28"/>
        </w:rPr>
        <w:t>截止</w:t>
      </w:r>
      <w:r>
        <w:rPr>
          <w:szCs w:val="28"/>
        </w:rPr>
        <w:t>12月3</w:t>
      </w:r>
      <w:r>
        <w:rPr>
          <w:rFonts w:hint="eastAsia"/>
          <w:szCs w:val="28"/>
        </w:rPr>
        <w:t>1</w:t>
      </w:r>
      <w:r>
        <w:rPr>
          <w:szCs w:val="28"/>
        </w:rPr>
        <w:t>日，采集《著作库》底本文献164种49260页。其中，省博物馆62种29589页，省图书馆97种18893页，民间5种778页。完成整理编纂122种43817页，除去涉及民族纠纷问题等受到出版限制的文献内容外，实际有效整理32000余页（全书101册容量约5、6万页）。</w:t>
      </w:r>
    </w:p>
    <w:p>
      <w:pPr>
        <w:keepNext/>
        <w:keepLines/>
        <w:ind w:firstLine="562"/>
        <w:outlineLvl w:val="2"/>
        <w:rPr>
          <w:b/>
          <w:bCs/>
          <w:szCs w:val="32"/>
        </w:rPr>
      </w:pPr>
      <w:r>
        <w:rPr>
          <w:rFonts w:hint="eastAsia"/>
          <w:b/>
          <w:bCs/>
          <w:szCs w:val="28"/>
        </w:rPr>
        <w:t>3</w:t>
      </w:r>
      <w:r>
        <w:rPr>
          <w:rFonts w:hint="eastAsia" w:hAnsi="宋体"/>
          <w:b/>
          <w:bCs/>
          <w:szCs w:val="28"/>
        </w:rPr>
        <w:t>、</w:t>
      </w:r>
      <w:r>
        <w:rPr>
          <w:rFonts w:hint="eastAsia"/>
          <w:b/>
          <w:bCs/>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产出指标包括数量指标、质量指标和时效指标</w:t>
      </w:r>
      <w:r>
        <w:rPr>
          <w:szCs w:val="28"/>
          <w:lang w:bidi="ar"/>
        </w:rPr>
        <w:t>3</w:t>
      </w:r>
      <w:r>
        <w:rPr>
          <w:rFonts w:hint="eastAsia"/>
          <w:szCs w:val="28"/>
          <w:lang w:bidi="ar"/>
        </w:rPr>
        <w:t>个二级指标，12个三级指标，指标总分值</w:t>
      </w:r>
      <w:r>
        <w:rPr>
          <w:szCs w:val="28"/>
          <w:lang w:bidi="ar"/>
        </w:rPr>
        <w:t>45</w:t>
      </w:r>
      <w:r>
        <w:rPr>
          <w:rFonts w:hint="eastAsia"/>
          <w:szCs w:val="28"/>
          <w:lang w:bidi="ar"/>
        </w:rPr>
        <w:t>分，自评得分</w:t>
      </w:r>
      <w:r>
        <w:rPr>
          <w:szCs w:val="28"/>
          <w:lang w:bidi="ar"/>
        </w:rPr>
        <w:t>44</w:t>
      </w:r>
      <w:r>
        <w:rPr>
          <w:rFonts w:hint="eastAsia"/>
          <w:szCs w:val="28"/>
          <w:lang w:bidi="ar"/>
        </w:rPr>
        <w:t>分，得分率</w:t>
      </w:r>
      <w:r>
        <w:rPr>
          <w:szCs w:val="28"/>
          <w:lang w:bidi="ar"/>
        </w:rPr>
        <w:t>97.78</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1448"/>
        <w:gridCol w:w="1463"/>
        <w:gridCol w:w="871"/>
        <w:gridCol w:w="8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景本量</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≥8万套</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8万套</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聘请专家人数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≥40人</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40人</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设备采购种类</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≥4种</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4种</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数据采集量</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≥8万页</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8万页</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数据整理量</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≥8万页</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8万页</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印刷册数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=100套</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0套</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撰稿字数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≥30万字</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30万字</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采购设备合格率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聘请专家匹配率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数据整理准确率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印刷合格率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印刷内容合规率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97.78</w:t>
            </w:r>
            <w:r>
              <w:rPr>
                <w:rFonts w:hint="eastAsia" w:hAnsi="等线"/>
                <w:b/>
                <w:bCs/>
                <w:sz w:val="24"/>
                <w:szCs w:val="24"/>
              </w:rPr>
              <w:t>%</w:t>
            </w:r>
          </w:p>
        </w:tc>
      </w:tr>
    </w:tbl>
    <w:p>
      <w:pPr>
        <w:spacing w:line="600" w:lineRule="exact"/>
        <w:ind w:firstLine="562"/>
        <w:jc w:val="left"/>
        <w:rPr>
          <w:rFonts w:hAnsi="宋体"/>
          <w:sz w:val="32"/>
          <w:szCs w:val="32"/>
        </w:rPr>
      </w:pPr>
      <w:r>
        <w:rPr>
          <w:rFonts w:hint="eastAsia"/>
          <w:b/>
          <w:bCs/>
          <w:szCs w:val="28"/>
          <w:lang w:bidi="ar"/>
        </w:rPr>
        <w:t>数量指标：</w:t>
      </w:r>
      <w:r>
        <w:rPr>
          <w:szCs w:val="28"/>
          <w:lang w:bidi="ar"/>
        </w:rPr>
        <w:t>2021年，</w:t>
      </w:r>
      <w:r>
        <w:rPr>
          <w:rFonts w:hint="eastAsia"/>
          <w:szCs w:val="28"/>
          <w:lang w:bidi="ar"/>
        </w:rPr>
        <w:t>《文库》编辑中心</w:t>
      </w:r>
      <w:r>
        <w:rPr>
          <w:szCs w:val="28"/>
          <w:lang w:bidi="ar"/>
        </w:rPr>
        <w:t>采集底本文献</w:t>
      </w:r>
      <w:r>
        <w:rPr>
          <w:rFonts w:hint="eastAsia"/>
          <w:szCs w:val="28"/>
          <w:lang w:bidi="ar"/>
        </w:rPr>
        <w:t>共181种84219页。完成《方志库》（二）编纂整理，1</w:t>
      </w:r>
      <w:r>
        <w:rPr>
          <w:szCs w:val="28"/>
          <w:lang w:bidi="ar"/>
        </w:rPr>
        <w:t>0</w:t>
      </w:r>
      <w:r>
        <w:rPr>
          <w:rFonts w:hint="eastAsia"/>
          <w:szCs w:val="28"/>
          <w:lang w:bidi="ar"/>
        </w:rPr>
        <w:t>月9日已交出版单位审读；完成《方志库（三）》编纂整理，待出版单位完成《方志库（二）》审读稿件后再交付。采集《著作库》底本文献164种49260页。完成整理编纂</w:t>
      </w:r>
      <w:r>
        <w:rPr>
          <w:szCs w:val="28"/>
          <w:lang w:bidi="ar"/>
        </w:rPr>
        <w:t>122</w:t>
      </w:r>
      <w:r>
        <w:rPr>
          <w:rFonts w:hint="eastAsia"/>
          <w:szCs w:val="28"/>
          <w:lang w:bidi="ar"/>
        </w:rPr>
        <w:t>种</w:t>
      </w:r>
      <w:r>
        <w:rPr>
          <w:szCs w:val="28"/>
          <w:lang w:bidi="ar"/>
        </w:rPr>
        <w:t>43817</w:t>
      </w:r>
      <w:r>
        <w:rPr>
          <w:rFonts w:hint="eastAsia"/>
          <w:szCs w:val="28"/>
          <w:lang w:bidi="ar"/>
        </w:rPr>
        <w:t>页，除去涉及民族纠纷问题等受到出版限制的文献内容外，实际有效整理</w:t>
      </w:r>
      <w:r>
        <w:rPr>
          <w:szCs w:val="28"/>
          <w:lang w:bidi="ar"/>
        </w:rPr>
        <w:t>32000</w:t>
      </w:r>
      <w:r>
        <w:rPr>
          <w:rFonts w:hint="eastAsia"/>
          <w:szCs w:val="28"/>
          <w:lang w:bidi="ar"/>
        </w:rPr>
        <w:t>余页（全书</w:t>
      </w:r>
      <w:r>
        <w:rPr>
          <w:szCs w:val="28"/>
          <w:lang w:bidi="ar"/>
        </w:rPr>
        <w:t>101</w:t>
      </w:r>
      <w:r>
        <w:rPr>
          <w:rFonts w:hint="eastAsia"/>
          <w:szCs w:val="28"/>
          <w:lang w:bidi="ar"/>
        </w:rPr>
        <w:t>册容量约</w:t>
      </w:r>
      <w:r>
        <w:rPr>
          <w:szCs w:val="28"/>
          <w:lang w:bidi="ar"/>
        </w:rPr>
        <w:t>5</w:t>
      </w:r>
      <w:r>
        <w:rPr>
          <w:rFonts w:hint="eastAsia"/>
          <w:szCs w:val="28"/>
          <w:lang w:bidi="ar"/>
        </w:rPr>
        <w:t>、</w:t>
      </w:r>
      <w:r>
        <w:rPr>
          <w:szCs w:val="28"/>
          <w:lang w:bidi="ar"/>
        </w:rPr>
        <w:t>6</w:t>
      </w:r>
      <w:r>
        <w:rPr>
          <w:rFonts w:hint="eastAsia"/>
          <w:szCs w:val="28"/>
          <w:lang w:bidi="ar"/>
        </w:rPr>
        <w:t>万页）。其中收集景本量达到8万多套，聘请专家人数达到4</w:t>
      </w:r>
      <w:r>
        <w:rPr>
          <w:szCs w:val="28"/>
          <w:lang w:bidi="ar"/>
        </w:rPr>
        <w:t>0</w:t>
      </w:r>
      <w:r>
        <w:rPr>
          <w:rFonts w:hint="eastAsia"/>
          <w:szCs w:val="28"/>
          <w:lang w:bidi="ar"/>
        </w:rPr>
        <w:t>人，采购专业设备4种，数据采集与整理达到8万余页，攥稿字数3</w:t>
      </w:r>
      <w:r>
        <w:rPr>
          <w:szCs w:val="28"/>
          <w:lang w:bidi="ar"/>
        </w:rPr>
        <w:t>0</w:t>
      </w:r>
      <w:r>
        <w:rPr>
          <w:rFonts w:hint="eastAsia"/>
          <w:szCs w:val="28"/>
          <w:lang w:bidi="ar"/>
        </w:rPr>
        <w:t>万字，印刷册数0套。数量指标中印刷册数没有达到目标值，因《文库》编辑中心的采集工作推进困难，制约了项目总体进度，《文库》编纂与出版审读标准有待统一，故文献尚未印刷成册。其余指标均达到目标值，指标分值合计</w:t>
      </w:r>
      <w:r>
        <w:rPr>
          <w:szCs w:val="28"/>
          <w:lang w:bidi="ar"/>
        </w:rPr>
        <w:t>24</w:t>
      </w:r>
      <w:r>
        <w:rPr>
          <w:rFonts w:hint="eastAsia"/>
          <w:szCs w:val="28"/>
          <w:lang w:bidi="ar"/>
        </w:rPr>
        <w:t>分，按评分标准得</w:t>
      </w:r>
      <w:r>
        <w:rPr>
          <w:szCs w:val="28"/>
          <w:lang w:bidi="ar"/>
        </w:rPr>
        <w:t>23</w:t>
      </w:r>
      <w:r>
        <w:rPr>
          <w:rFonts w:hint="eastAsia"/>
          <w:szCs w:val="28"/>
          <w:lang w:bidi="ar"/>
        </w:rPr>
        <w:t>分，得分率</w:t>
      </w:r>
      <w:r>
        <w:rPr>
          <w:szCs w:val="28"/>
          <w:lang w:bidi="ar"/>
        </w:rPr>
        <w:t>95.83</w:t>
      </w:r>
      <w:r>
        <w:rPr>
          <w:rFonts w:hint="eastAsia"/>
          <w:szCs w:val="28"/>
          <w:lang w:bidi="ar"/>
        </w:rPr>
        <w:t>%。</w:t>
      </w:r>
    </w:p>
    <w:p>
      <w:pPr>
        <w:ind w:firstLine="562"/>
        <w:rPr>
          <w:szCs w:val="28"/>
        </w:rPr>
      </w:pPr>
      <w:r>
        <w:rPr>
          <w:rFonts w:hint="eastAsia"/>
          <w:b/>
          <w:bCs/>
          <w:szCs w:val="28"/>
        </w:rPr>
        <w:t>质量指标：</w:t>
      </w:r>
      <w:r>
        <w:rPr>
          <w:rFonts w:hint="eastAsia"/>
          <w:szCs w:val="28"/>
        </w:rPr>
        <w:t>2</w:t>
      </w:r>
      <w:r>
        <w:rPr>
          <w:szCs w:val="28"/>
        </w:rPr>
        <w:t>021</w:t>
      </w:r>
      <w:r>
        <w:rPr>
          <w:rFonts w:hint="eastAsia"/>
          <w:szCs w:val="28"/>
        </w:rPr>
        <w:t>年《文库》编纂过程中采购的专业设备验收合格，聘请专家到位，数据整理准确率达到1</w:t>
      </w:r>
      <w:r>
        <w:rPr>
          <w:szCs w:val="28"/>
        </w:rPr>
        <w:t>00</w:t>
      </w:r>
      <w:r>
        <w:rPr>
          <w:rFonts w:hint="eastAsia"/>
          <w:szCs w:val="28"/>
        </w:rPr>
        <w:t>%，但因为《文库》尚未印刷，印刷合格率及印刷内容合规率均为0%</w:t>
      </w:r>
      <w:r>
        <w:rPr>
          <w:rFonts w:hint="eastAsia"/>
          <w:szCs w:val="28"/>
          <w:lang w:eastAsia="zh-CN"/>
        </w:rPr>
        <w:t>（指标不赋分）</w:t>
      </w:r>
      <w:r>
        <w:rPr>
          <w:rFonts w:hint="eastAsia"/>
          <w:szCs w:val="28"/>
        </w:rPr>
        <w:t>。质量指标中除印刷合格率及印刷内容合规率之外其他指标均达到目标值，指标分值合计</w:t>
      </w:r>
      <w:r>
        <w:rPr>
          <w:szCs w:val="28"/>
        </w:rPr>
        <w:t>15</w:t>
      </w:r>
      <w:r>
        <w:rPr>
          <w:rFonts w:hint="eastAsia"/>
          <w:szCs w:val="28"/>
        </w:rPr>
        <w:t>分，按评分标准得</w:t>
      </w:r>
      <w:r>
        <w:rPr>
          <w:szCs w:val="28"/>
        </w:rPr>
        <w:t>15</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w:t>
      </w:r>
      <w:r>
        <w:rPr>
          <w:szCs w:val="28"/>
        </w:rPr>
        <w:t>021年</w:t>
      </w:r>
      <w:r>
        <w:rPr>
          <w:rFonts w:hint="eastAsia"/>
          <w:szCs w:val="28"/>
        </w:rPr>
        <w:t>《文库》编纂过程中，我部能够积极履行职能，积极支持编委会和《文库》编辑中心工作，及时采购专业设备，聘请专家学者，在各大主要文献典藏单位的配合下，使得《文库》编辑中心及时采集数据和底本文献，</w:t>
      </w:r>
      <w:r>
        <w:rPr>
          <w:szCs w:val="28"/>
        </w:rPr>
        <w:t>但因为《</w:t>
      </w:r>
      <w:r>
        <w:rPr>
          <w:rFonts w:hint="eastAsia"/>
          <w:szCs w:val="28"/>
        </w:rPr>
        <w:t>文库</w:t>
      </w:r>
      <w:r>
        <w:rPr>
          <w:szCs w:val="28"/>
        </w:rPr>
        <w:t>》</w:t>
      </w:r>
      <w:r>
        <w:rPr>
          <w:rFonts w:hint="eastAsia"/>
          <w:szCs w:val="28"/>
        </w:rPr>
        <w:t>尚未印刷，印刷及时性没有达到目标值</w:t>
      </w:r>
      <w:r>
        <w:rPr>
          <w:rFonts w:hint="eastAsia"/>
          <w:szCs w:val="28"/>
          <w:lang w:eastAsia="zh-CN"/>
        </w:rPr>
        <w:t>（指标不赋分）</w:t>
      </w:r>
      <w:r>
        <w:rPr>
          <w:rFonts w:hint="eastAsia"/>
          <w:szCs w:val="28"/>
        </w:rPr>
        <w:t>。时效指标除印刷及时性外其他均达到目标值，指标分值合计</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8</w:t>
      </w:r>
      <w:r>
        <w:rPr>
          <w:rFonts w:hint="eastAsia"/>
          <w:szCs w:val="28"/>
          <w:lang w:bidi="ar"/>
        </w:rPr>
        <w:t>个三级指标，指标总分值3</w:t>
      </w:r>
      <w:r>
        <w:rPr>
          <w:rFonts w:hint="eastAsia"/>
          <w:szCs w:val="28"/>
          <w:lang w:val="en-US" w:eastAsia="zh-CN" w:bidi="ar"/>
        </w:rPr>
        <w:t>5</w:t>
      </w:r>
      <w:r>
        <w:rPr>
          <w:rFonts w:hint="eastAsia"/>
          <w:szCs w:val="28"/>
          <w:lang w:bidi="ar"/>
        </w:rPr>
        <w:t>分，自评得分</w:t>
      </w:r>
      <w:r>
        <w:rPr>
          <w:szCs w:val="28"/>
          <w:lang w:bidi="ar"/>
        </w:rPr>
        <w:t>3</w:t>
      </w:r>
      <w:r>
        <w:rPr>
          <w:rFonts w:hint="eastAsia"/>
          <w:szCs w:val="28"/>
          <w:lang w:val="en-US" w:eastAsia="zh-CN" w:bidi="ar"/>
        </w:rPr>
        <w:t>5</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社会价值提高性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文化产业发展指数提升程度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文化传承价值提高性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文化软实力提高性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学术价值提高性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部门协作率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长效管理机制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档案管理机制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完善</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仿宋_GB2312"/>
                <w:color w:val="000000"/>
                <w:sz w:val="24"/>
                <w:szCs w:val="24"/>
                <w:lang w:eastAsia="zh-CN"/>
              </w:rPr>
            </w:pPr>
            <w:r>
              <w:rPr>
                <w:rFonts w:hint="eastAsia"/>
                <w:color w:val="000000"/>
                <w:sz w:val="24"/>
                <w:szCs w:val="24"/>
                <w:lang w:val="en-US" w:eastAsia="zh-CN"/>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35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35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为加强甘肃文化强省建设，提升甘肃文化自信，发挥甘肃在“一带一路”中独特的文化支点作用。编纂出版《陇右文库》是我省保护传承中华优秀传统文化的战略性、基础性和标志性工程，对提高社会价值、文化产业发展指数提升、学术价值、文化传承价值和文化软实力的提高具有重大历史价值和现实意义。社会效益指标均达到目标值，指标分值合计</w:t>
      </w:r>
      <w:r>
        <w:rPr>
          <w:szCs w:val="28"/>
        </w:rPr>
        <w:t>20</w:t>
      </w:r>
      <w:r>
        <w:rPr>
          <w:rFonts w:hint="eastAsia"/>
          <w:szCs w:val="28"/>
        </w:rPr>
        <w:t>分，按评分标准得</w:t>
      </w:r>
      <w:r>
        <w:rPr>
          <w:szCs w:val="28"/>
        </w:rPr>
        <w:t>20</w:t>
      </w:r>
      <w:r>
        <w:rPr>
          <w:rFonts w:hint="eastAsia"/>
          <w:szCs w:val="28"/>
        </w:rPr>
        <w:t>分，得分率100%。</w:t>
      </w:r>
    </w:p>
    <w:p>
      <w:pPr>
        <w:ind w:firstLine="562"/>
        <w:rPr>
          <w:szCs w:val="28"/>
        </w:rPr>
      </w:pPr>
      <w:r>
        <w:rPr>
          <w:rFonts w:hint="eastAsia"/>
          <w:b/>
          <w:bCs/>
          <w:szCs w:val="28"/>
        </w:rPr>
        <w:t>可持续影响指标：</w:t>
      </w:r>
      <w:r>
        <w:rPr>
          <w:rFonts w:hint="eastAsia"/>
          <w:szCs w:val="28"/>
        </w:rPr>
        <w:t>《陇右文库》编纂出版项目的主管部门是省委宣传部和省社科联，我部主要负责项目的全面指导协调工作，部门协作机制健全，配合程度高。不断完善资金管理体系，制定资金使用管理办法，管理机制健全并具有长效性。建立健全了文献档案管理机制，为抢救、发掘和保护、利用中华优秀古籍遗产</w:t>
      </w:r>
      <w:r>
        <w:rPr>
          <w:rFonts w:hint="eastAsia"/>
          <w:szCs w:val="28"/>
          <w:lang w:eastAsia="zh-CN"/>
        </w:rPr>
        <w:t>作出贡献</w:t>
      </w:r>
      <w:r>
        <w:rPr>
          <w:rFonts w:hint="eastAsia"/>
          <w:szCs w:val="28"/>
        </w:rPr>
        <w:t>。可持续影响指标均达到了目标值，指标分值</w:t>
      </w:r>
      <w:r>
        <w:rPr>
          <w:szCs w:val="28"/>
        </w:rPr>
        <w:t>1</w:t>
      </w:r>
      <w:r>
        <w:rPr>
          <w:rFonts w:hint="eastAsia"/>
          <w:szCs w:val="28"/>
          <w:lang w:val="en-US" w:eastAsia="zh-CN"/>
        </w:rPr>
        <w:t>5</w:t>
      </w:r>
      <w:r>
        <w:rPr>
          <w:rFonts w:hint="eastAsia"/>
          <w:szCs w:val="28"/>
        </w:rPr>
        <w:t>分，按评分标准得</w:t>
      </w:r>
      <w:r>
        <w:rPr>
          <w:szCs w:val="28"/>
        </w:rPr>
        <w:t>1</w:t>
      </w:r>
      <w:r>
        <w:rPr>
          <w:rFonts w:hint="eastAsia"/>
          <w:szCs w:val="28"/>
          <w:lang w:val="en-US" w:eastAsia="zh-CN"/>
        </w:rPr>
        <w:t>5</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满意度指标包括读者服务对象满意度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3"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读者服务对象满意度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w:t>
            </w:r>
            <w:r>
              <w:rPr>
                <w:rFonts w:cs="仿宋_GB2312"/>
                <w:color w:val="000000"/>
                <w:sz w:val="24"/>
                <w:szCs w:val="24"/>
              </w:rPr>
              <w:t>80</w:t>
            </w:r>
            <w:r>
              <w:rPr>
                <w:rFonts w:hint="eastAsia" w:cs="仿宋_GB2312"/>
                <w:color w:val="000000"/>
                <w:sz w:val="24"/>
                <w:szCs w:val="24"/>
              </w:rPr>
              <w:t>%</w:t>
            </w:r>
          </w:p>
        </w:tc>
        <w:tc>
          <w:tcPr>
            <w:tcW w:w="1455"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90</w:t>
            </w:r>
            <w:r>
              <w:rPr>
                <w:rFonts w:hint="eastAsia" w:cs="仿宋_GB2312"/>
                <w:color w:val="000000"/>
                <w:sz w:val="24"/>
                <w:szCs w:val="24"/>
              </w:rPr>
              <w:t>%</w:t>
            </w:r>
          </w:p>
        </w:tc>
        <w:tc>
          <w:tcPr>
            <w:tcW w:w="996"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851"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虽然出版单位介入迟缓，《文库》尚未印刷，但经过邀请相关专家学者作为读者阅读初稿后满意度高，读者服务对象满意度为</w:t>
      </w:r>
      <w:r>
        <w:rPr>
          <w:rFonts w:cs="仿宋_GB2312"/>
          <w:color w:val="333333"/>
          <w:szCs w:val="28"/>
        </w:rPr>
        <w:t>90%</w:t>
      </w:r>
      <w:r>
        <w:rPr>
          <w:rFonts w:hint="eastAsia"/>
          <w:szCs w:val="21"/>
        </w:rPr>
        <w:t>，达到了预期目标值。满意度指标分值10分，按评分标准得10</w:t>
      </w:r>
      <w:r>
        <w:rPr>
          <w:rFonts w:hint="eastAsia" w:ascii="宋体" w:hAnsi="宋体"/>
          <w:color w:val="333333"/>
          <w:szCs w:val="28"/>
        </w:rPr>
        <w:t>分，</w:t>
      </w:r>
      <w:r>
        <w:rPr>
          <w:rFonts w:hint="eastAsia"/>
          <w:szCs w:val="21"/>
        </w:rPr>
        <w:t>得分率100%。</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2"/>
      </w:pPr>
      <w:r>
        <w:rPr>
          <w:rFonts w:hint="eastAsia"/>
          <w:b/>
          <w:bCs/>
        </w:rPr>
        <w:t>印刷册数、印刷合格率、印刷内容合规率及印刷及时性：</w:t>
      </w:r>
      <w:r>
        <w:rPr>
          <w:rFonts w:hint="eastAsia"/>
        </w:rPr>
        <w:t>一是因为省内个别主要文献典藏单位大局意识弱化，对编委会相关文件要求执行不够，不能很好地配合《文库》编辑中心的采集工作，在源头上制约着项目整体进度，如《著作库》采集工作从</w:t>
      </w:r>
      <w:r>
        <w:t>2021年3月份就全面铺开，但与省图11月底才签订《底本使用协议》。二是出版单位介入迟缓。《方志库》（二）（101册）于10月9日提交出版单位审读至今未完成。《方志库》（三）虽已成稿，但未能交付。另外，《文库》编纂与出版审读标准不够统一，导致审读与编纂工作矛盾和问题比较突出。</w:t>
      </w:r>
      <w:r>
        <w:rPr>
          <w:rFonts w:hint="eastAsia"/>
        </w:rPr>
        <w:t>最终导致《文库》尚未出版印刷。下一步将优化编纂流程、规范操作动作、确定技术标准、完善管理系统，努力提高编纂出版工作效率。</w:t>
      </w:r>
    </w:p>
    <w:p>
      <w:pPr>
        <w:pStyle w:val="3"/>
        <w:ind w:firstLine="643"/>
      </w:pPr>
      <w:bookmarkStart w:id="79" w:name="_Toc26435"/>
      <w:r>
        <w:rPr>
          <w:rFonts w:hint="eastAsia"/>
        </w:rPr>
        <w:t>（八）项目8－少数民族教材出版发行补贴</w:t>
      </w:r>
      <w:bookmarkEnd w:id="79"/>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少数民族教材出版发行补贴项目年初预算数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50万元，全年支出数50万元，预算执行率100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本项目自评价得分96.2分，自评结果为“优”。主要任务完成情况分析如下：</w:t>
      </w:r>
    </w:p>
    <w:p>
      <w:pPr>
        <w:ind w:firstLine="562"/>
        <w:rPr>
          <w:szCs w:val="28"/>
        </w:rPr>
      </w:pPr>
      <w:r>
        <w:rPr>
          <w:rFonts w:hint="eastAsia"/>
          <w:b/>
          <w:bCs/>
          <w:szCs w:val="28"/>
        </w:rPr>
        <w:t>预期目标：</w:t>
      </w:r>
      <w:r>
        <w:rPr>
          <w:rFonts w:hint="eastAsia"/>
          <w:szCs w:val="28"/>
        </w:rPr>
        <w:t>为落实发行少数民族文字教材的补贴政策，扶持民族地区新华书店进一步做好图书发行工作起到了积极的作用，确保甘南州、天祝县等少数民族地区中小学教材准时到位，支持少数民族地区文化教育事业发展，极大地发挥社会效益，促进民族地区稳定的社会环境。</w:t>
      </w:r>
    </w:p>
    <w:p>
      <w:pPr>
        <w:ind w:firstLine="562"/>
        <w:rPr>
          <w:rFonts w:hAnsi="宋体"/>
          <w:szCs w:val="28"/>
        </w:rPr>
      </w:pPr>
      <w:r>
        <w:rPr>
          <w:rFonts w:hint="eastAsia"/>
          <w:b/>
          <w:bCs/>
          <w:szCs w:val="28"/>
        </w:rPr>
        <w:t>实际完成情况：</w:t>
      </w:r>
      <w:r>
        <w:rPr>
          <w:rFonts w:hint="eastAsia"/>
          <w:szCs w:val="28"/>
        </w:rPr>
        <w:t>已将50万元少数民族教材发行补贴分配到甘南、夏河、碌曲等12家少数民族新华书店，中小学受益人数约6.41万人，满足了少数民族群众的文化需求，</w:t>
      </w:r>
      <w:r>
        <w:rPr>
          <w:rFonts w:hint="eastAsia"/>
          <w:szCs w:val="28"/>
          <w:highlight w:val="none"/>
        </w:rPr>
        <w:t>促进了民族地区教育事业的发展。</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产出指标包括数量指标、质量指标、时效指标3个二级指标，6个三级指标，指标总分值50分，自评得分49分，得分率98%。指标分析如下：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1425"/>
        <w:gridCol w:w="1425"/>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发行少数民族中小学教材补贴数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=85万册</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42.7万册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少数民族地区新华书店补贴数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=12个</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12个</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中小学学生受惠人数</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=5.50万人</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6.41万人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教材质量合格率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项目验收合格率（%）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项目完成及时率（%）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49</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98%</w:t>
            </w:r>
          </w:p>
        </w:tc>
      </w:tr>
    </w:tbl>
    <w:p>
      <w:pPr>
        <w:ind w:firstLine="562"/>
        <w:rPr>
          <w:color w:val="FF0000"/>
          <w:highlight w:val="yellow"/>
          <w:lang w:bidi="ar"/>
        </w:rPr>
      </w:pPr>
      <w:r>
        <w:rPr>
          <w:rFonts w:hint="eastAsia"/>
          <w:b/>
          <w:bCs/>
          <w:szCs w:val="28"/>
          <w:lang w:bidi="ar"/>
        </w:rPr>
        <w:t>数量指标：</w:t>
      </w:r>
      <w:r>
        <w:rPr>
          <w:rFonts w:hint="eastAsia"/>
          <w:szCs w:val="28"/>
          <w:lang w:bidi="ar"/>
        </w:rPr>
        <w:t>2021年我部已将50万元少数民族教材发行补贴分配到甘南、夏河、碌曲等12家少数民族新华书店，发行少数民族中小学教材补贴42.7万册，中小学受益人数约6.41万人，满足了少数民族群众的文化需求，促进了社会主义和谐发展。除发行少数民族中小学教材补贴数外其余指标均达到了预期目标值，指标分值合计22分，按评分标准得21分，得分率95.45%。</w:t>
      </w:r>
    </w:p>
    <w:p>
      <w:pPr>
        <w:ind w:firstLine="562"/>
        <w:rPr>
          <w:szCs w:val="28"/>
        </w:rPr>
      </w:pPr>
      <w:r>
        <w:rPr>
          <w:rFonts w:hint="eastAsia"/>
          <w:b/>
          <w:bCs/>
          <w:szCs w:val="28"/>
        </w:rPr>
        <w:t>质量指标：</w:t>
      </w:r>
      <w:r>
        <w:rPr>
          <w:rFonts w:hint="eastAsia"/>
          <w:szCs w:val="28"/>
        </w:rPr>
        <w:t>教材质量合格率、项目验收合格率均为100%，为落实发行少数民族文字教材的补贴政策，扶持民族地区新华书店进一步做好图书发行工作起到了积极的作用。质量指标均达到了预期目标值，指标分值合计20分，按评分标准得20分，得分率100%。</w:t>
      </w:r>
    </w:p>
    <w:p>
      <w:pPr>
        <w:ind w:firstLine="562"/>
        <w:rPr>
          <w:b/>
          <w:bCs/>
          <w:szCs w:val="28"/>
        </w:rPr>
      </w:pPr>
      <w:r>
        <w:rPr>
          <w:rFonts w:hint="eastAsia"/>
          <w:b/>
          <w:bCs/>
          <w:szCs w:val="28"/>
        </w:rPr>
        <w:t>时效指标：</w:t>
      </w:r>
      <w:r>
        <w:rPr>
          <w:rFonts w:hint="eastAsia"/>
          <w:szCs w:val="28"/>
        </w:rPr>
        <w:t>2021年我部根据年度工作计划组织出版处完成了少数民族教材发行补贴分配及实施工作，各项工作均在规定时间内完成。时效指标均达到了预期目标值，指标分值合计8分，按评分标准得8分，得分率100%。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效益指标包括经济效益指标、社会效益指标、可持续影响指标3个二级指标，7个三级指标，指标总分值30分，自评得分27.2分，得分率90.67%。指标分析如下：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0"/>
        <w:gridCol w:w="1380"/>
        <w:gridCol w:w="1290"/>
        <w:gridCol w:w="720"/>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少数民族地区新华书店利润亏损降低率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≥20%</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9.57%</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0.96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少数民族地区新华书店销售收入增长率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0.24</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少数民族地区学生整体素质提高率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提高当地文化教育事业繁荣发展程度</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逐步提高</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坚定少数民族地区学生理想信念</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坚定</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维护少数民族地区文化安全</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成功维护</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增强少数民族地区“五个认同”</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持续增强</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27.2</w:t>
            </w:r>
          </w:p>
        </w:tc>
        <w:tc>
          <w:tcPr>
            <w:tcW w:w="9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90.67%</w:t>
            </w:r>
          </w:p>
        </w:tc>
      </w:tr>
    </w:tbl>
    <w:p>
      <w:pPr>
        <w:ind w:firstLine="562"/>
        <w:rPr>
          <w:szCs w:val="28"/>
        </w:rPr>
      </w:pPr>
      <w:r>
        <w:rPr>
          <w:rFonts w:hint="eastAsia"/>
          <w:b/>
          <w:bCs/>
          <w:szCs w:val="28"/>
        </w:rPr>
        <w:t>经济效益指标：</w:t>
      </w:r>
      <w:r>
        <w:rPr>
          <w:rFonts w:hint="eastAsia"/>
          <w:szCs w:val="28"/>
        </w:rPr>
        <w:t>为了落实发行少数民族文字教材的补贴政策，扶持民族地区新华书店进一步做好图书发行工作，支持当地文化教育事业繁荣发展，创造稳定和谐的社会环境，我部将50万元少数民族教材发行补贴分配到甘南、夏河、碌曲等12家少数民族新华书店，弥补少数民族地区新华书店利润亏损，2021年少数民族地区新华书店利润亏损降低率为9.57%，少数民族地区新华书店销售收入增长率1.20，由于年度指标值设置过高导致经济效益指标均未达到预期目标值。指标分值合计4分，按评分标准得1.2分，得分率30%。</w:t>
      </w:r>
    </w:p>
    <w:p>
      <w:pPr>
        <w:ind w:firstLine="562"/>
        <w:rPr>
          <w:szCs w:val="28"/>
        </w:rPr>
      </w:pPr>
      <w:r>
        <w:rPr>
          <w:rFonts w:hint="eastAsia"/>
          <w:b/>
          <w:bCs/>
          <w:szCs w:val="28"/>
        </w:rPr>
        <w:t>社会效益指标：</w:t>
      </w:r>
      <w:r>
        <w:rPr>
          <w:rFonts w:hint="eastAsia"/>
          <w:szCs w:val="28"/>
        </w:rPr>
        <w:t>通过项目的实施，满足了少数民族群众的文化需求，促进了社会主义和谐发展，我省中小学受益人数约6.41万人，有效促进了少数民族地区学生整体素质的提升，助推少数民族地区文化教育事业繁荣发展。社会效益指标均达到了既定目标值，指标分值11分，按评分标准得11分，得分率100%。</w:t>
      </w:r>
    </w:p>
    <w:p>
      <w:pPr>
        <w:ind w:firstLine="562"/>
        <w:rPr>
          <w:szCs w:val="28"/>
        </w:rPr>
      </w:pPr>
      <w:r>
        <w:rPr>
          <w:rFonts w:hint="eastAsia"/>
          <w:b/>
          <w:bCs/>
          <w:szCs w:val="28"/>
        </w:rPr>
        <w:t>可持续影响指标：</w:t>
      </w:r>
      <w:r>
        <w:rPr>
          <w:rFonts w:hint="eastAsia"/>
          <w:szCs w:val="28"/>
        </w:rPr>
        <w:t>2021年我部通过少数民族教材出版发行补贴，支持少数民族地区文化教育事业发展，重点补贴少数民族新华书店，确保甘南州、天祝县等少数民族地区中小学教材准时到位，通过项目的实施，维护了少数民族地区文化安全，坚定了少数民族地区学生理想信念，增强了少数民族地区“五个认同”。可持续影响指标均达到了既定目标值，指标分值15分，按评分标准得15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满意度指标包括受补贴新华书店满意度、学生满意度2个三级指标，指标分值10分，自评得分10分，得分率100%。指标分析如下：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470"/>
        <w:gridCol w:w="1455"/>
        <w:gridCol w:w="734"/>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7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34"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受补贴新华书店满意度</w:t>
            </w:r>
          </w:p>
        </w:tc>
        <w:tc>
          <w:tcPr>
            <w:tcW w:w="147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34"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学生满意度</w:t>
            </w:r>
          </w:p>
        </w:tc>
        <w:tc>
          <w:tcPr>
            <w:tcW w:w="147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34"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851"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45" w:type="dxa"/>
            <w:gridSpan w:val="3"/>
          </w:tcPr>
          <w:p>
            <w:pPr>
              <w:spacing w:line="240" w:lineRule="auto"/>
              <w:ind w:firstLine="0" w:firstLineChars="0"/>
              <w:jc w:val="center"/>
              <w:rPr>
                <w:b/>
                <w:bCs/>
                <w:sz w:val="24"/>
                <w:szCs w:val="24"/>
              </w:rPr>
            </w:pPr>
            <w:r>
              <w:rPr>
                <w:rFonts w:hint="eastAsia"/>
                <w:b/>
                <w:bCs/>
                <w:sz w:val="24"/>
                <w:szCs w:val="24"/>
              </w:rPr>
              <w:t>合计</w:t>
            </w:r>
          </w:p>
        </w:tc>
        <w:tc>
          <w:tcPr>
            <w:tcW w:w="734"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w:t>
      </w:r>
      <w:r>
        <w:rPr>
          <w:rFonts w:hint="eastAsia" w:ascii="宋体" w:hAnsi="宋体"/>
          <w:color w:val="333333"/>
          <w:szCs w:val="28"/>
        </w:rPr>
        <w:t>将</w:t>
      </w:r>
      <w:r>
        <w:rPr>
          <w:rFonts w:hint="eastAsia" w:ascii="仿宋_GB2312" w:hAnsi="仿宋_GB2312" w:eastAsia="仿宋_GB2312" w:cs="仿宋_GB2312"/>
          <w:color w:val="333333"/>
          <w:szCs w:val="28"/>
        </w:rPr>
        <w:t>50</w:t>
      </w:r>
      <w:r>
        <w:rPr>
          <w:rFonts w:hint="eastAsia" w:ascii="宋体" w:hAnsi="宋体"/>
          <w:color w:val="333333"/>
          <w:szCs w:val="28"/>
        </w:rPr>
        <w:t>万元少数民族教材发行补贴分配到甘南、夏河、碌曲等</w:t>
      </w:r>
      <w:r>
        <w:rPr>
          <w:rFonts w:hint="eastAsia" w:ascii="仿宋_GB2312" w:hAnsi="仿宋_GB2312" w:eastAsia="仿宋_GB2312" w:cs="仿宋_GB2312"/>
          <w:color w:val="333333"/>
          <w:szCs w:val="28"/>
        </w:rPr>
        <w:t>12</w:t>
      </w:r>
      <w:r>
        <w:rPr>
          <w:rFonts w:hint="eastAsia" w:ascii="宋体" w:hAnsi="宋体"/>
          <w:color w:val="333333"/>
          <w:szCs w:val="28"/>
        </w:rPr>
        <w:t>家少数民族新华书店，中小学受益人数约</w:t>
      </w:r>
      <w:r>
        <w:rPr>
          <w:rFonts w:hint="eastAsia" w:ascii="仿宋_GB2312" w:hAnsi="仿宋_GB2312" w:eastAsia="仿宋_GB2312" w:cs="仿宋_GB2312"/>
          <w:color w:val="333333"/>
          <w:szCs w:val="28"/>
        </w:rPr>
        <w:t>6.41</w:t>
      </w:r>
      <w:r>
        <w:rPr>
          <w:rFonts w:hint="eastAsia" w:ascii="宋体" w:hAnsi="宋体"/>
          <w:color w:val="333333"/>
          <w:szCs w:val="28"/>
        </w:rPr>
        <w:t>万人，满足了少数民族群众的文化需求，促进了社会主义和谐发展，受补贴新华书店对补贴工作的满意度、少数民族地区学生对教材配备工作的满意度均为</w:t>
      </w:r>
      <w:r>
        <w:rPr>
          <w:rFonts w:hint="eastAsia" w:cs="仿宋_GB2312"/>
          <w:color w:val="333333"/>
          <w:szCs w:val="28"/>
        </w:rPr>
        <w:t>100%，达到了预期目标值。指标分值合计10分，按评分标准得10分，得分率100%。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（1）发行少数民族中小学教材补贴数</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2021年少数民族中小学教材补贴42.7万册，由于以下原因导致偏差：第一，自2021秋季学期开始，教育厅推广三科统编教材（语文、历史、道德与法治）全省覆盖，民文教材的《历史》和《道德与法治》全部停用；第二，双语学生分年级普及汉语教材，一、二、三、四、七、八年级的教材已不分民文教材和普通教材，全部通用普通教材即汉文教材。五、六、九年级除三科统编教材使用普通教材外，其余科目均保留民文教材；第三，双语学生主要分布于牧区，随着城镇化的普及，部分双语学生进入普通学校就读，使用民文教材的学生人数逐年下降。</w:t>
      </w:r>
    </w:p>
    <w:p>
      <w:pPr>
        <w:ind w:firstLine="560"/>
      </w:pPr>
      <w:r>
        <w:rPr>
          <w:rFonts w:hint="eastAsia"/>
        </w:rPr>
        <w:t>下一步将按照省教育厅及当地教育部门的要求，继续做好少数民族中小学教材的发行服务工作。</w:t>
      </w:r>
    </w:p>
    <w:p>
      <w:pPr>
        <w:ind w:firstLine="562"/>
        <w:rPr>
          <w:b/>
          <w:bCs/>
        </w:rPr>
      </w:pPr>
      <w:r>
        <w:rPr>
          <w:rFonts w:hint="eastAsia"/>
          <w:b/>
          <w:bCs/>
        </w:rPr>
        <w:t>（2）少数民族地区新华书店利润亏损降低率和少数民族地区新华书店销售收入增长率</w:t>
      </w:r>
    </w:p>
    <w:p>
      <w:pPr>
        <w:ind w:firstLine="560"/>
      </w:pPr>
      <w:r>
        <w:rPr>
          <w:rFonts w:hint="eastAsia"/>
        </w:rPr>
        <w:t>2021年少数民族地区新华书店利润亏损降低率为9.57%，少数民族地区新华书店销售收入增长率为1.20%，由于年度指标值设置过高导致偏差。下一年度将综合考虑各方面因素，科学、合理的设置年度指标值。</w:t>
      </w:r>
    </w:p>
    <w:p>
      <w:pPr>
        <w:pStyle w:val="3"/>
        <w:ind w:firstLine="643"/>
        <w:rPr>
          <w:b w:val="0"/>
          <w:bCs w:val="0"/>
        </w:rPr>
      </w:pPr>
      <w:bookmarkStart w:id="80" w:name="_Toc26787"/>
      <w:r>
        <w:rPr>
          <w:rFonts w:hint="eastAsia"/>
        </w:rPr>
        <w:t>（九）项目9－购买公益性演出</w:t>
      </w:r>
      <w:bookmarkEnd w:id="80"/>
    </w:p>
    <w:p>
      <w:pPr>
        <w:keepNext/>
        <w:keepLines/>
        <w:ind w:firstLine="562"/>
        <w:outlineLvl w:val="2"/>
        <w:rPr>
          <w:b/>
          <w:bCs/>
          <w:szCs w:val="28"/>
        </w:rPr>
      </w:pPr>
      <w:r>
        <w:rPr>
          <w:rFonts w:hint="eastAsia"/>
          <w:b/>
          <w:bCs/>
          <w:szCs w:val="28"/>
        </w:rPr>
        <w:t>1</w:t>
      </w:r>
      <w:r>
        <w:rPr>
          <w:rFonts w:hint="eastAsia" w:hAnsi="宋体"/>
          <w:b/>
          <w:bCs/>
          <w:szCs w:val="28"/>
        </w:rPr>
        <w:t>、</w:t>
      </w:r>
      <w:r>
        <w:rPr>
          <w:rFonts w:hint="eastAsia"/>
          <w:b/>
          <w:bCs/>
          <w:szCs w:val="28"/>
        </w:rPr>
        <w:t>项目支出预算执行情况</w:t>
      </w:r>
    </w:p>
    <w:p>
      <w:pPr>
        <w:ind w:firstLine="560"/>
        <w:rPr>
          <w:szCs w:val="28"/>
        </w:rPr>
      </w:pPr>
      <w:r>
        <w:rPr>
          <w:rFonts w:hint="eastAsia"/>
          <w:szCs w:val="28"/>
        </w:rPr>
        <w:t>购买公益性演出项目年初预算数</w:t>
      </w:r>
      <w:r>
        <w:rPr>
          <w:rFonts w:hint="eastAsia"/>
          <w:szCs w:val="28"/>
          <w:lang w:eastAsia="zh-CN"/>
        </w:rPr>
        <w:t>、</w:t>
      </w:r>
      <w:r>
        <w:rPr>
          <w:rFonts w:hint="eastAsia"/>
          <w:szCs w:val="28"/>
        </w:rPr>
        <w:t>全年预算</w:t>
      </w:r>
      <w:r>
        <w:rPr>
          <w:rFonts w:hint="eastAsia"/>
          <w:szCs w:val="28"/>
          <w:lang w:eastAsia="zh-CN"/>
        </w:rPr>
        <w:t>均为</w:t>
      </w:r>
      <w:r>
        <w:rPr>
          <w:szCs w:val="28"/>
        </w:rPr>
        <w:t>3000</w:t>
      </w:r>
      <w:r>
        <w:rPr>
          <w:rFonts w:hint="eastAsia"/>
          <w:szCs w:val="28"/>
        </w:rPr>
        <w:t>万元，全年支出数</w:t>
      </w:r>
      <w:r>
        <w:rPr>
          <w:szCs w:val="28"/>
        </w:rPr>
        <w:t>3000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keepNext/>
        <w:keepLines/>
        <w:ind w:firstLine="562"/>
        <w:outlineLvl w:val="2"/>
        <w:rPr>
          <w:b/>
          <w:bCs/>
          <w:szCs w:val="28"/>
        </w:rPr>
      </w:pPr>
      <w:r>
        <w:rPr>
          <w:rFonts w:hint="eastAsia"/>
          <w:b/>
          <w:bCs/>
          <w:szCs w:val="28"/>
        </w:rPr>
        <w:t>2</w:t>
      </w:r>
      <w:r>
        <w:rPr>
          <w:rFonts w:hint="eastAsia" w:hAnsi="宋体"/>
          <w:b/>
          <w:bCs/>
          <w:szCs w:val="28"/>
        </w:rPr>
        <w:t>、</w:t>
      </w:r>
      <w:r>
        <w:rPr>
          <w:rFonts w:hint="eastAsia"/>
          <w:b/>
          <w:bCs/>
          <w:szCs w:val="28"/>
        </w:rPr>
        <w:t>总体绩效目标完成情况分析</w:t>
      </w:r>
    </w:p>
    <w:p>
      <w:pPr>
        <w:ind w:firstLine="560"/>
        <w:rPr>
          <w:szCs w:val="28"/>
        </w:rPr>
      </w:pPr>
      <w:r>
        <w:rPr>
          <w:rFonts w:hint="eastAsia"/>
          <w:szCs w:val="28"/>
        </w:rPr>
        <w:t>本项目自评价得分</w:t>
      </w:r>
      <w:r>
        <w:rPr>
          <w:szCs w:val="28"/>
        </w:rPr>
        <w:t>94.2</w:t>
      </w:r>
      <w:r>
        <w:rPr>
          <w:rFonts w:hint="eastAsia"/>
          <w:szCs w:val="28"/>
        </w:rPr>
        <w:t>分，自评结果为“优”。主要任务完成情况分析如下：</w:t>
      </w:r>
    </w:p>
    <w:p>
      <w:pPr>
        <w:ind w:firstLine="562"/>
        <w:rPr>
          <w:b/>
          <w:bCs/>
          <w:szCs w:val="28"/>
        </w:rPr>
      </w:pPr>
      <w:r>
        <w:rPr>
          <w:rFonts w:hint="eastAsia"/>
          <w:b/>
          <w:bCs/>
          <w:szCs w:val="28"/>
        </w:rPr>
        <w:t>预期目标：</w:t>
      </w:r>
    </w:p>
    <w:p>
      <w:pPr>
        <w:ind w:firstLine="560"/>
        <w:rPr>
          <w:szCs w:val="28"/>
        </w:rPr>
      </w:pPr>
      <w:r>
        <w:rPr>
          <w:szCs w:val="28"/>
        </w:rPr>
        <w:t>基层公益性惠民演出302场。演出方式包括“陇原红色文艺轻骑兵”，优秀传统文化、高雅艺术“进福利院、进校园、进企业、进军营”演出</w:t>
      </w:r>
      <w:r>
        <w:rPr>
          <w:rFonts w:hint="eastAsia"/>
          <w:szCs w:val="28"/>
        </w:rPr>
        <w:t>；</w:t>
      </w:r>
      <w:r>
        <w:rPr>
          <w:szCs w:val="28"/>
        </w:rPr>
        <w:t>城市文艺活动122场。演出方式包括精品剧目市州巡演、重大节日演出、周周演</w:t>
      </w:r>
      <w:r>
        <w:rPr>
          <w:rFonts w:hint="eastAsia"/>
          <w:szCs w:val="28"/>
        </w:rPr>
        <w:t>；</w:t>
      </w:r>
      <w:r>
        <w:rPr>
          <w:szCs w:val="28"/>
        </w:rPr>
        <w:t>省上重大演出7场。演出方式包括话剧《八步沙》、舞剧《彩虹之路》省内展《巡》演等。</w:t>
      </w:r>
    </w:p>
    <w:p>
      <w:pPr>
        <w:ind w:firstLine="562"/>
        <w:rPr>
          <w:b/>
          <w:bCs/>
          <w:szCs w:val="28"/>
        </w:rPr>
      </w:pPr>
      <w:r>
        <w:rPr>
          <w:rFonts w:hint="eastAsia"/>
          <w:b/>
          <w:bCs/>
          <w:szCs w:val="28"/>
        </w:rPr>
        <w:t>实际完成情况：</w:t>
      </w:r>
    </w:p>
    <w:p>
      <w:pPr>
        <w:ind w:firstLine="560"/>
        <w:rPr>
          <w:rFonts w:hAnsi="宋体"/>
          <w:szCs w:val="28"/>
        </w:rPr>
      </w:pPr>
      <w:r>
        <w:rPr>
          <w:szCs w:val="28"/>
        </w:rPr>
        <w:t>基层公益性惠民演出234场。演出方式包括“陇原红色文艺轻骑兵”，优秀传统文化、高雅艺术“进福利院、进校园、进企业、进军营”演出</w:t>
      </w:r>
      <w:r>
        <w:rPr>
          <w:rFonts w:hint="eastAsia"/>
          <w:szCs w:val="28"/>
        </w:rPr>
        <w:t>；</w:t>
      </w:r>
      <w:r>
        <w:rPr>
          <w:szCs w:val="28"/>
        </w:rPr>
        <w:t>城市文艺活动98场。演出方式包括精品剧目市州巡演、重大节日演出、周周演</w:t>
      </w:r>
      <w:r>
        <w:rPr>
          <w:rFonts w:hint="eastAsia"/>
          <w:szCs w:val="28"/>
        </w:rPr>
        <w:t>；</w:t>
      </w:r>
      <w:r>
        <w:rPr>
          <w:szCs w:val="28"/>
        </w:rPr>
        <w:t>省上重大演出5场。演出方式包括话剧《八步沙》、舞剧《彩虹之路》省内展《巡》演等。</w:t>
      </w:r>
    </w:p>
    <w:p>
      <w:pPr>
        <w:keepNext/>
        <w:keepLines/>
        <w:ind w:firstLine="562"/>
        <w:outlineLvl w:val="2"/>
        <w:rPr>
          <w:b/>
          <w:bCs/>
          <w:szCs w:val="32"/>
        </w:rPr>
      </w:pPr>
      <w:r>
        <w:rPr>
          <w:rFonts w:hint="eastAsia"/>
          <w:b/>
          <w:bCs/>
          <w:szCs w:val="28"/>
        </w:rPr>
        <w:t>3</w:t>
      </w:r>
      <w:r>
        <w:rPr>
          <w:rFonts w:hint="eastAsia" w:hAnsi="宋体"/>
          <w:b/>
          <w:bCs/>
          <w:szCs w:val="28"/>
        </w:rPr>
        <w:t>、</w:t>
      </w:r>
      <w:r>
        <w:rPr>
          <w:rFonts w:hint="eastAsia"/>
          <w:b/>
          <w:bCs/>
          <w:szCs w:val="28"/>
        </w:rPr>
        <w:t>各项指标完成情况分析</w:t>
      </w:r>
    </w:p>
    <w:p>
      <w:pPr>
        <w:ind w:firstLine="560"/>
        <w:rPr>
          <w:b/>
          <w:bCs/>
        </w:rPr>
      </w:pPr>
      <w:r>
        <w:rPr>
          <w:rFonts w:hint="eastAsia"/>
          <w:b/>
          <w:bCs/>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11</w:t>
      </w:r>
      <w:r>
        <w:rPr>
          <w:rFonts w:hint="eastAsia"/>
          <w:szCs w:val="28"/>
          <w:lang w:bidi="ar"/>
        </w:rPr>
        <w:t>个三级指标，指标总分值50分，自评得分</w:t>
      </w:r>
      <w:r>
        <w:rPr>
          <w:szCs w:val="28"/>
          <w:lang w:bidi="ar"/>
        </w:rPr>
        <w:t>44.2</w:t>
      </w:r>
      <w:r>
        <w:rPr>
          <w:rFonts w:hint="eastAsia"/>
          <w:szCs w:val="28"/>
          <w:lang w:bidi="ar"/>
        </w:rPr>
        <w:t>分，得分率</w:t>
      </w:r>
      <w:r>
        <w:rPr>
          <w:szCs w:val="28"/>
          <w:lang w:bidi="ar"/>
        </w:rPr>
        <w:t>88.4</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1096"/>
        <w:gridCol w:w="1075"/>
        <w:gridCol w:w="850"/>
        <w:gridCol w:w="99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“陇原红色文艺轻骑兵”演出场次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=520次</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234次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1.35</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购买公益性演出场次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=1080次</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337次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0.62</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民族地区演出场次</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=400次</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65场</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0.33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购买演出节目质量合格率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≥95%</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98.50%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演出覆盖市州率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自治州、县区覆盖率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演出视频长传省委宣传部指定多媒体平台是否及时</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演出视频汇总统计是否及时</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演出完成是否及时</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color w:val="000000"/>
                <w:sz w:val="24"/>
                <w:szCs w:val="24"/>
              </w:rPr>
              <w:t>3</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color w:val="000000"/>
                <w:sz w:val="24"/>
                <w:szCs w:val="24"/>
              </w:rPr>
              <w:t>100</w:t>
            </w:r>
            <w:r>
              <w:rPr>
                <w:rFonts w:hint="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完成合同价款百分比</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78%</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3.9</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1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已演场次演出预算利用率</w:t>
            </w:r>
          </w:p>
        </w:tc>
        <w:tc>
          <w:tcPr>
            <w:tcW w:w="109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bCs/>
                <w:sz w:val="24"/>
                <w:szCs w:val="24"/>
              </w:rPr>
              <w:t>50</w:t>
            </w:r>
          </w:p>
        </w:tc>
        <w:tc>
          <w:tcPr>
            <w:tcW w:w="99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bCs/>
                <w:sz w:val="24"/>
                <w:szCs w:val="24"/>
              </w:rPr>
              <w:t>4</w:t>
            </w:r>
            <w:r>
              <w:rPr>
                <w:b/>
                <w:bCs/>
                <w:sz w:val="24"/>
                <w:szCs w:val="24"/>
              </w:rPr>
              <w:t>4.2</w:t>
            </w:r>
          </w:p>
        </w:tc>
        <w:tc>
          <w:tcPr>
            <w:tcW w:w="1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bCs/>
                <w:sz w:val="24"/>
                <w:szCs w:val="24"/>
              </w:rPr>
              <w:t>8</w:t>
            </w:r>
            <w:r>
              <w:rPr>
                <w:b/>
                <w:bCs/>
                <w:sz w:val="24"/>
                <w:szCs w:val="24"/>
              </w:rPr>
              <w:t>8.4</w:t>
            </w:r>
            <w:r>
              <w:rPr>
                <w:rFonts w:hint="eastAsia"/>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全年</w:t>
      </w:r>
      <w:r>
        <w:rPr>
          <w:szCs w:val="28"/>
          <w:lang w:bidi="ar"/>
        </w:rPr>
        <w:t>实际演出337场，</w:t>
      </w:r>
      <w:r>
        <w:rPr>
          <w:rFonts w:hint="eastAsia"/>
          <w:szCs w:val="28"/>
          <w:lang w:bidi="ar"/>
        </w:rPr>
        <w:t>其中“陇原红色文艺轻骑兵”演出场次2</w:t>
      </w:r>
      <w:r>
        <w:rPr>
          <w:szCs w:val="28"/>
          <w:lang w:bidi="ar"/>
        </w:rPr>
        <w:t>34</w:t>
      </w:r>
      <w:r>
        <w:rPr>
          <w:rFonts w:hint="eastAsia"/>
          <w:szCs w:val="28"/>
          <w:lang w:bidi="ar"/>
        </w:rPr>
        <w:t>次，购买公益性演出场次3</w:t>
      </w:r>
      <w:r>
        <w:rPr>
          <w:szCs w:val="28"/>
          <w:lang w:bidi="ar"/>
        </w:rPr>
        <w:t>37</w:t>
      </w:r>
      <w:r>
        <w:rPr>
          <w:rFonts w:hint="eastAsia"/>
          <w:szCs w:val="28"/>
          <w:lang w:bidi="ar"/>
        </w:rPr>
        <w:t>次，民族地区演出场次6</w:t>
      </w:r>
      <w:r>
        <w:rPr>
          <w:szCs w:val="28"/>
          <w:lang w:bidi="ar"/>
        </w:rPr>
        <w:t>5</w:t>
      </w:r>
      <w:r>
        <w:rPr>
          <w:rFonts w:hint="eastAsia"/>
          <w:szCs w:val="28"/>
          <w:lang w:bidi="ar"/>
        </w:rPr>
        <w:t>场。因</w:t>
      </w:r>
      <w:r>
        <w:rPr>
          <w:szCs w:val="28"/>
          <w:lang w:bidi="ar"/>
        </w:rPr>
        <w:t>受疫情影响</w:t>
      </w:r>
      <w:r>
        <w:rPr>
          <w:rFonts w:hint="eastAsia"/>
          <w:szCs w:val="28"/>
          <w:lang w:bidi="ar"/>
        </w:rPr>
        <w:t>，甘肃演艺集团按照省上要求，两次暂停演出工作，演出工作</w:t>
      </w:r>
      <w:r>
        <w:rPr>
          <w:szCs w:val="28"/>
          <w:lang w:bidi="ar"/>
        </w:rPr>
        <w:t>未完成</w:t>
      </w:r>
      <w:r>
        <w:rPr>
          <w:rFonts w:hint="eastAsia"/>
          <w:szCs w:val="28"/>
          <w:lang w:bidi="ar"/>
        </w:rPr>
        <w:t>，数量指标均未达到目标值。指标分值合计</w:t>
      </w:r>
      <w:r>
        <w:rPr>
          <w:szCs w:val="28"/>
          <w:lang w:bidi="ar"/>
        </w:rPr>
        <w:t>7</w:t>
      </w:r>
      <w:r>
        <w:rPr>
          <w:rFonts w:hint="eastAsia"/>
          <w:szCs w:val="28"/>
          <w:lang w:bidi="ar"/>
        </w:rPr>
        <w:t>分，按评分标准得</w:t>
      </w:r>
      <w:r>
        <w:rPr>
          <w:szCs w:val="28"/>
          <w:lang w:bidi="ar"/>
        </w:rPr>
        <w:t>2.3</w:t>
      </w:r>
      <w:r>
        <w:rPr>
          <w:rFonts w:hint="eastAsia"/>
          <w:szCs w:val="28"/>
          <w:lang w:bidi="ar"/>
        </w:rPr>
        <w:t>分，得分率</w:t>
      </w:r>
      <w:r>
        <w:rPr>
          <w:szCs w:val="28"/>
          <w:lang w:bidi="ar"/>
        </w:rPr>
        <w:t>32.86</w:t>
      </w:r>
      <w:r>
        <w:rPr>
          <w:rFonts w:hint="eastAsia"/>
          <w:szCs w:val="28"/>
          <w:lang w:bidi="ar"/>
        </w:rPr>
        <w:t>%。</w:t>
      </w:r>
    </w:p>
    <w:p>
      <w:pPr>
        <w:ind w:firstLine="562"/>
        <w:rPr>
          <w:szCs w:val="28"/>
        </w:rPr>
      </w:pPr>
      <w:r>
        <w:rPr>
          <w:rFonts w:hint="eastAsia"/>
          <w:b/>
          <w:bCs/>
          <w:szCs w:val="28"/>
        </w:rPr>
        <w:t>质量指标：</w:t>
      </w:r>
      <w:r>
        <w:rPr>
          <w:rFonts w:hint="eastAsia"/>
          <w:szCs w:val="28"/>
        </w:rPr>
        <w:t>为满足不同地域、不同层次群众对精神文化产品的需求，演出采用了包括“陇原红色文艺轻骑兵”、优秀传统文化和高雅艺术“进福利院、进校园、进企业、进军营”、精品剧目市州巡演等多种方式进行，购买演出节目质量合格率达到9</w:t>
      </w:r>
      <w:r>
        <w:rPr>
          <w:szCs w:val="28"/>
        </w:rPr>
        <w:t>8.5</w:t>
      </w:r>
      <w:r>
        <w:rPr>
          <w:rFonts w:hint="eastAsia"/>
          <w:szCs w:val="28"/>
        </w:rPr>
        <w:t>%，演出覆盖市州率10</w:t>
      </w:r>
      <w:r>
        <w:rPr>
          <w:szCs w:val="28"/>
        </w:rPr>
        <w:t>0</w:t>
      </w:r>
      <w:r>
        <w:rPr>
          <w:rFonts w:hint="eastAsia"/>
          <w:szCs w:val="28"/>
        </w:rPr>
        <w:t>%，演出对8个自治州、县区全覆盖。质量指标均达到目标值。指标分值合计</w:t>
      </w:r>
      <w:r>
        <w:rPr>
          <w:szCs w:val="28"/>
        </w:rPr>
        <w:t>24</w:t>
      </w:r>
      <w:r>
        <w:rPr>
          <w:rFonts w:hint="eastAsia"/>
          <w:szCs w:val="28"/>
        </w:rPr>
        <w:t>分，按评分标准得</w:t>
      </w:r>
      <w:r>
        <w:rPr>
          <w:szCs w:val="28"/>
        </w:rPr>
        <w:t>24</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2021年我部购买演出服务后及时将演出视频上传省委宣传部指定多媒体平台，及时汇总统计演出视频，演出完成及时性完成率9</w:t>
      </w:r>
      <w:r>
        <w:rPr>
          <w:szCs w:val="28"/>
        </w:rPr>
        <w:t>0</w:t>
      </w:r>
      <w:r>
        <w:rPr>
          <w:rFonts w:hint="eastAsia"/>
          <w:szCs w:val="28"/>
        </w:rPr>
        <w:t>%，时效指标均达到了预期目标值。指标分值合计</w:t>
      </w:r>
      <w:r>
        <w:rPr>
          <w:szCs w:val="28"/>
        </w:rPr>
        <w:t>9</w:t>
      </w:r>
      <w:r>
        <w:rPr>
          <w:rFonts w:hint="eastAsia"/>
          <w:szCs w:val="28"/>
        </w:rPr>
        <w:t>分，按评分标准得</w:t>
      </w:r>
      <w:r>
        <w:rPr>
          <w:szCs w:val="28"/>
        </w:rPr>
        <w:t>9</w:t>
      </w:r>
      <w:r>
        <w:rPr>
          <w:rFonts w:hint="eastAsia"/>
          <w:szCs w:val="28"/>
        </w:rPr>
        <w:t>分，得分率100%。</w:t>
      </w:r>
    </w:p>
    <w:p>
      <w:pPr>
        <w:ind w:firstLine="562"/>
        <w:rPr>
          <w:szCs w:val="28"/>
        </w:rPr>
      </w:pPr>
      <w:r>
        <w:rPr>
          <w:rFonts w:hint="eastAsia"/>
          <w:b/>
          <w:bCs/>
          <w:szCs w:val="28"/>
        </w:rPr>
        <w:t>成本指标：</w:t>
      </w:r>
      <w:r>
        <w:rPr>
          <w:rFonts w:hint="eastAsia"/>
          <w:szCs w:val="28"/>
        </w:rPr>
        <w:t>2021年我部完成合同价款百分比为7</w:t>
      </w:r>
      <w:r>
        <w:rPr>
          <w:szCs w:val="28"/>
        </w:rPr>
        <w:t>8</w:t>
      </w:r>
      <w:r>
        <w:rPr>
          <w:rFonts w:hint="eastAsia"/>
          <w:szCs w:val="28"/>
        </w:rPr>
        <w:t>%，该项指标未达到目标值，因受疫情影响，</w:t>
      </w:r>
      <w:r>
        <w:rPr>
          <w:szCs w:val="28"/>
        </w:rPr>
        <w:t>2021年省级政府购买省直文艺院团公益性演出完成期限延长至2022年4月30日</w:t>
      </w:r>
      <w:r>
        <w:rPr>
          <w:rFonts w:hint="eastAsia"/>
          <w:szCs w:val="28"/>
        </w:rPr>
        <w:t>；该项目成本控制在预算范围内。成本指标分值合计</w:t>
      </w:r>
      <w:r>
        <w:rPr>
          <w:szCs w:val="28"/>
        </w:rPr>
        <w:t>10</w:t>
      </w:r>
      <w:r>
        <w:rPr>
          <w:rFonts w:hint="eastAsia"/>
          <w:szCs w:val="28"/>
        </w:rPr>
        <w:t>分，按评分标准得</w:t>
      </w:r>
      <w:r>
        <w:rPr>
          <w:szCs w:val="28"/>
        </w:rPr>
        <w:t>8.9</w:t>
      </w:r>
      <w:r>
        <w:rPr>
          <w:rFonts w:hint="eastAsia"/>
          <w:szCs w:val="28"/>
        </w:rPr>
        <w:t>分，得分率</w:t>
      </w:r>
      <w:r>
        <w:rPr>
          <w:szCs w:val="28"/>
        </w:rPr>
        <w:t>89%</w:t>
      </w:r>
      <w:r>
        <w:rPr>
          <w:rFonts w:hint="eastAsia"/>
          <w:szCs w:val="28"/>
        </w:rPr>
        <w:t>。</w:t>
      </w:r>
    </w:p>
    <w:p>
      <w:pPr>
        <w:ind w:firstLine="560"/>
        <w:rPr>
          <w:b/>
          <w:bCs/>
        </w:rPr>
      </w:pPr>
      <w:r>
        <w:rPr>
          <w:rFonts w:hint="eastAsia"/>
          <w:b/>
          <w:bCs/>
        </w:rPr>
        <w:t>（2）效益指标</w:t>
      </w:r>
    </w:p>
    <w:p>
      <w:pPr>
        <w:ind w:firstLine="560"/>
        <w:rPr>
          <w:szCs w:val="28"/>
          <w:lang w:bidi="ar"/>
        </w:rPr>
      </w:pPr>
      <w:r>
        <w:rPr>
          <w:rFonts w:hint="eastAsia"/>
          <w:szCs w:val="28"/>
          <w:lang w:bidi="ar"/>
        </w:rPr>
        <w:t>效益指标包括社会效益指标、生态效益指标和可持续影响指标</w:t>
      </w:r>
      <w:r>
        <w:rPr>
          <w:szCs w:val="28"/>
          <w:lang w:bidi="ar"/>
        </w:rPr>
        <w:t>3</w:t>
      </w:r>
      <w:r>
        <w:rPr>
          <w:rFonts w:hint="eastAsia"/>
          <w:szCs w:val="28"/>
          <w:lang w:bidi="ar"/>
        </w:rPr>
        <w:t>个二级指标，</w:t>
      </w:r>
      <w:r>
        <w:rPr>
          <w:szCs w:val="28"/>
          <w:lang w:bidi="ar"/>
        </w:rPr>
        <w:t>3</w:t>
      </w:r>
      <w:r>
        <w:rPr>
          <w:rFonts w:hint="eastAsia"/>
          <w:szCs w:val="28"/>
          <w:lang w:bidi="ar"/>
        </w:rPr>
        <w:t>个三级指标，指标总分值30分，自评得分30分，得分率100%。指标分析如下：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134"/>
        <w:gridCol w:w="1134"/>
        <w:gridCol w:w="992"/>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提升全省人民群众精神文化生活</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提升全省人民群众生态环保意识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媒体关注持续程度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持续</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pPr>
      <w:r>
        <w:rPr>
          <w:rFonts w:hint="eastAsia"/>
          <w:b/>
          <w:bCs/>
          <w:szCs w:val="28"/>
        </w:rPr>
        <w:t>社会效益指标：</w:t>
      </w:r>
      <w:r>
        <w:rPr>
          <w:rFonts w:hint="eastAsia"/>
          <w:szCs w:val="28"/>
        </w:rPr>
        <w:t>为满足不同地域、不同层次群众对精神文化产品的需求，演出采用了包括“陇原红色文艺轻骑兵”、优秀传统文化和高雅艺术“进福利院、进校园、进企业、进军营”、精品剧目市州巡演等多种方式进行，演出内容既有歌曲舞蹈、器乐演奏、小品曲艺、传统戏曲，也有大型舞台精品剧目，极大丰富了基层群众的精神文化生活，提升了全省人民群众精神文化生活。社会效益指标达到目标值，指标分值合计</w:t>
      </w:r>
      <w:r>
        <w:rPr>
          <w:szCs w:val="28"/>
        </w:rPr>
        <w:t>10</w:t>
      </w:r>
      <w:r>
        <w:rPr>
          <w:rFonts w:hint="eastAsia"/>
          <w:szCs w:val="28"/>
        </w:rPr>
        <w:t>分，按评分标准得</w:t>
      </w:r>
      <w:r>
        <w:rPr>
          <w:szCs w:val="28"/>
        </w:rPr>
        <w:t>10</w:t>
      </w:r>
      <w:r>
        <w:rPr>
          <w:rFonts w:hint="eastAsia"/>
          <w:szCs w:val="28"/>
        </w:rPr>
        <w:t>分，得分率100%。</w:t>
      </w:r>
    </w:p>
    <w:p>
      <w:pPr>
        <w:ind w:firstLine="562"/>
        <w:rPr>
          <w:szCs w:val="28"/>
        </w:rPr>
      </w:pPr>
      <w:r>
        <w:rPr>
          <w:rFonts w:hint="eastAsia"/>
          <w:b/>
          <w:bCs/>
          <w:szCs w:val="28"/>
        </w:rPr>
        <w:t>生态效益指标：</w:t>
      </w:r>
      <w:r>
        <w:rPr>
          <w:rFonts w:hint="eastAsia"/>
          <w:szCs w:val="28"/>
        </w:rPr>
        <w:t>本年演出中内容丰富，尤其是对全省人民群众生态环保意识有提升作用，生态效益指标均达到目标值，指标分值</w:t>
      </w:r>
      <w:r>
        <w:rPr>
          <w:szCs w:val="28"/>
        </w:rPr>
        <w:t>10</w:t>
      </w:r>
      <w:r>
        <w:rPr>
          <w:rFonts w:hint="eastAsia"/>
          <w:szCs w:val="28"/>
        </w:rPr>
        <w:t>分，按评分标准得</w:t>
      </w:r>
      <w:r>
        <w:rPr>
          <w:szCs w:val="28"/>
        </w:rPr>
        <w:t>10</w:t>
      </w:r>
      <w:r>
        <w:rPr>
          <w:rFonts w:hint="eastAsia"/>
          <w:szCs w:val="28"/>
        </w:rPr>
        <w:t>分，得分率100%。</w:t>
      </w:r>
    </w:p>
    <w:p>
      <w:pPr>
        <w:ind w:firstLine="562"/>
      </w:pPr>
      <w:r>
        <w:rPr>
          <w:rFonts w:hint="eastAsia"/>
          <w:b/>
          <w:bCs/>
        </w:rPr>
        <w:t>可持续影响指标：</w:t>
      </w:r>
      <w:r>
        <w:rPr>
          <w:rFonts w:hint="eastAsia"/>
        </w:rPr>
        <w:t>演出</w:t>
      </w:r>
      <w:r>
        <w:t>期间演职人员积极引导鼓励观众利用网络、自媒体、各大直播平台等方式</w:t>
      </w:r>
      <w:r>
        <w:rPr>
          <w:rFonts w:hint="eastAsia"/>
        </w:rPr>
        <w:t>进行</w:t>
      </w:r>
      <w:r>
        <w:t>宣传，全方位、多角度提升演出</w:t>
      </w:r>
      <w:r>
        <w:rPr>
          <w:rFonts w:hint="eastAsia"/>
        </w:rPr>
        <w:t>知名度和影响力，引起各大媒体对演出的持续关注。可持续影响指标达到了目标值，指标分值</w:t>
      </w:r>
      <w:r>
        <w:t>10</w:t>
      </w:r>
      <w:r>
        <w:rPr>
          <w:rFonts w:hint="eastAsia"/>
        </w:rPr>
        <w:t>分，按评分标准得</w:t>
      </w:r>
      <w:r>
        <w:t>10</w:t>
      </w:r>
      <w:r>
        <w:rPr>
          <w:rFonts w:hint="eastAsia"/>
        </w:rPr>
        <w:t>分，得分率100%。</w:t>
      </w:r>
    </w:p>
    <w:p>
      <w:pPr>
        <w:ind w:firstLine="560"/>
        <w:rPr>
          <w:b/>
          <w:bCs/>
        </w:rPr>
      </w:pPr>
      <w:r>
        <w:rPr>
          <w:rFonts w:hint="eastAsia"/>
          <w:b/>
          <w:bCs/>
        </w:rPr>
        <w:t>（3）满意度指标</w:t>
      </w:r>
    </w:p>
    <w:p>
      <w:pPr>
        <w:ind w:firstLine="560"/>
        <w:rPr>
          <w:szCs w:val="28"/>
          <w:lang w:bidi="ar"/>
        </w:rPr>
      </w:pPr>
      <w:r>
        <w:rPr>
          <w:rFonts w:hint="eastAsia"/>
          <w:szCs w:val="28"/>
          <w:lang w:bidi="ar"/>
        </w:rPr>
        <w:t>满意度指标包括演出观众满意度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演出观众满意度（</w:t>
            </w:r>
            <w:r>
              <w:rPr>
                <w:color w:val="000000"/>
                <w:sz w:val="24"/>
                <w:szCs w:val="24"/>
              </w:rPr>
              <w:t>%）</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w:t>
            </w:r>
            <w:r>
              <w:rPr>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color w:val="000000"/>
                <w:sz w:val="24"/>
                <w:szCs w:val="24"/>
              </w:rPr>
              <w:t>97.40%</w:t>
            </w:r>
          </w:p>
        </w:tc>
        <w:tc>
          <w:tcPr>
            <w:tcW w:w="996" w:type="dxa"/>
            <w:vAlign w:val="center"/>
          </w:tcPr>
          <w:p>
            <w:pPr>
              <w:spacing w:line="240" w:lineRule="auto"/>
              <w:ind w:firstLine="0" w:firstLineChars="0"/>
              <w:jc w:val="center"/>
              <w:rPr>
                <w:rFonts w:cs="仿宋_GB2312"/>
                <w:sz w:val="24"/>
                <w:szCs w:val="24"/>
              </w:rPr>
            </w:pPr>
            <w:r>
              <w:rPr>
                <w:color w:val="000000"/>
                <w:sz w:val="24"/>
                <w:szCs w:val="24"/>
              </w:rPr>
              <w:t>10</w:t>
            </w:r>
          </w:p>
        </w:tc>
        <w:tc>
          <w:tcPr>
            <w:tcW w:w="851" w:type="dxa"/>
            <w:vAlign w:val="center"/>
          </w:tcPr>
          <w:p>
            <w:pPr>
              <w:spacing w:line="240" w:lineRule="auto"/>
              <w:ind w:firstLine="0" w:firstLineChars="0"/>
              <w:jc w:val="center"/>
              <w:rPr>
                <w:rFonts w:cs="仿宋_GB2312"/>
                <w:sz w:val="24"/>
                <w:szCs w:val="24"/>
              </w:rPr>
            </w:pPr>
            <w:r>
              <w:rPr>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演出根据观众群体不同进行精心安排，如在庆阳、天水等地多安排秦腔、陇剧的演出，特别是更多演出经典本戏；在甘南、临夏等地多以歌舞、曲艺的形式进行；在总书记曾经视察过的元古堆村演出时与当地群众共同演唱《唱支山歌给党听》等，观看演出观众满意度高达9</w:t>
      </w:r>
      <w:r>
        <w:rPr>
          <w:rFonts w:cs="仿宋_GB2312"/>
          <w:color w:val="333333"/>
          <w:szCs w:val="28"/>
        </w:rPr>
        <w:t>7.4</w:t>
      </w:r>
      <w:r>
        <w:rPr>
          <w:rFonts w:hint="eastAsia" w:cs="仿宋_GB2312"/>
          <w:color w:val="333333"/>
          <w:szCs w:val="28"/>
        </w:rPr>
        <w:t>%</w:t>
      </w:r>
      <w:r>
        <w:rPr>
          <w:rFonts w:hint="eastAsia"/>
          <w:szCs w:val="21"/>
        </w:rPr>
        <w:t>。指标总分值10分，按评分标准得10</w:t>
      </w:r>
      <w:r>
        <w:rPr>
          <w:rFonts w:hint="eastAsia" w:ascii="宋体" w:hAnsi="宋体"/>
          <w:color w:val="333333"/>
          <w:szCs w:val="28"/>
        </w:rPr>
        <w:t>分，</w:t>
      </w:r>
      <w:r>
        <w:rPr>
          <w:rFonts w:hint="eastAsia"/>
          <w:szCs w:val="21"/>
        </w:rPr>
        <w:t>得分率100%。</w:t>
      </w:r>
    </w:p>
    <w:p>
      <w:pPr>
        <w:pStyle w:val="4"/>
        <w:ind w:firstLine="562"/>
        <w:rPr>
          <w:b w:val="0"/>
          <w:bCs w:val="0"/>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“陇原红色文艺轻骑兵”演出场次、购买公益性演出场次及民族地区演出场次和完成合同价款百分比：</w:t>
      </w:r>
      <w:r>
        <w:rPr>
          <w:rFonts w:hint="eastAsia"/>
        </w:rPr>
        <w:t>由于</w:t>
      </w:r>
      <w:r>
        <w:t>2021年新冠肺炎疫情多点爆发，演出团队按照省上防控政策要求，两次暂停演出工作，影响了演出进度，导致演出任务未能如期完成</w:t>
      </w:r>
      <w:r>
        <w:rPr>
          <w:rFonts w:hint="eastAsia"/>
        </w:rPr>
        <w:t>，完成合同价款百分比较低</w:t>
      </w:r>
      <w:r>
        <w:t>。</w:t>
      </w:r>
      <w:r>
        <w:rPr>
          <w:rFonts w:hint="eastAsia"/>
        </w:rPr>
        <w:t>2</w:t>
      </w:r>
      <w:r>
        <w:t>021</w:t>
      </w:r>
      <w:r>
        <w:rPr>
          <w:rFonts w:hint="eastAsia"/>
        </w:rPr>
        <w:t>年</w:t>
      </w:r>
      <w:r>
        <w:t>11月24日，甘肃演艺集团向省委宣传部请示将演出期限适当延后，经部务会研究同意，将演出完成期限延长至2022年4月30日。下一步我们将加强指导督查，确保圆满完成演出工作。</w:t>
      </w:r>
    </w:p>
    <w:p>
      <w:pPr>
        <w:pStyle w:val="3"/>
        <w:ind w:firstLine="643"/>
      </w:pPr>
      <w:bookmarkStart w:id="81" w:name="_Toc6026"/>
      <w:r>
        <w:rPr>
          <w:rFonts w:hint="eastAsia"/>
        </w:rPr>
        <w:t>（十）项目10－影视精品及精品剧目</w:t>
      </w:r>
      <w:bookmarkEnd w:id="81"/>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影视精品及精品剧目项目年初预算数</w:t>
      </w:r>
      <w:r>
        <w:rPr>
          <w:szCs w:val="28"/>
        </w:rPr>
        <w:t>500</w:t>
      </w:r>
      <w:r>
        <w:rPr>
          <w:rFonts w:hint="eastAsia"/>
          <w:szCs w:val="28"/>
        </w:rPr>
        <w:t>万元，</w:t>
      </w:r>
      <w:r>
        <w:rPr>
          <w:rFonts w:hint="eastAsia"/>
          <w:szCs w:val="28"/>
          <w:lang w:eastAsia="zh-CN"/>
        </w:rPr>
        <w:t>上年结转资金</w:t>
      </w:r>
      <w:r>
        <w:rPr>
          <w:rFonts w:hint="eastAsia"/>
          <w:szCs w:val="28"/>
          <w:lang w:val="en-US" w:eastAsia="zh-CN"/>
        </w:rPr>
        <w:t>72.59万元，</w:t>
      </w:r>
      <w:r>
        <w:rPr>
          <w:rFonts w:hint="eastAsia"/>
          <w:szCs w:val="28"/>
        </w:rPr>
        <w:t>全年预算数</w:t>
      </w:r>
      <w:r>
        <w:rPr>
          <w:rFonts w:hint="eastAsia"/>
          <w:szCs w:val="28"/>
          <w:lang w:val="en-US" w:eastAsia="zh-CN"/>
        </w:rPr>
        <w:t>572.59</w:t>
      </w:r>
      <w:r>
        <w:rPr>
          <w:rFonts w:hint="eastAsia"/>
          <w:szCs w:val="28"/>
        </w:rPr>
        <w:t>万元，全年支出数</w:t>
      </w:r>
      <w:r>
        <w:rPr>
          <w:rFonts w:hint="eastAsia"/>
          <w:szCs w:val="28"/>
          <w:lang w:val="en-US" w:eastAsia="zh-CN"/>
        </w:rPr>
        <w:t>572.59</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本项目自评价得分98.65分，自评结果为“优”。主要任务完成情况分析如下：</w:t>
      </w:r>
    </w:p>
    <w:p>
      <w:pPr>
        <w:ind w:firstLine="562"/>
        <w:rPr>
          <w:szCs w:val="28"/>
        </w:rPr>
      </w:pPr>
      <w:r>
        <w:rPr>
          <w:rFonts w:hint="eastAsia"/>
          <w:b/>
          <w:bCs/>
          <w:szCs w:val="28"/>
        </w:rPr>
        <w:t>预期目标：</w:t>
      </w:r>
      <w:r>
        <w:rPr>
          <w:rFonts w:hint="eastAsia"/>
          <w:szCs w:val="28"/>
        </w:rPr>
        <w:t>每年奖励舞台剧、影视剧、纪录片不少于</w:t>
      </w:r>
      <w:r>
        <w:rPr>
          <w:szCs w:val="28"/>
        </w:rPr>
        <w:t>15部，激励文艺工作者创作出一批高质量的优秀文艺作品，进一步保障我省文艺精品创作生产，丰富群众精神文化生活。</w:t>
      </w:r>
    </w:p>
    <w:p>
      <w:pPr>
        <w:ind w:firstLine="562"/>
        <w:rPr>
          <w:szCs w:val="28"/>
        </w:rPr>
      </w:pPr>
      <w:r>
        <w:rPr>
          <w:rFonts w:hint="eastAsia"/>
          <w:b/>
          <w:bCs/>
          <w:szCs w:val="28"/>
        </w:rPr>
        <w:t>实际完成情况：</w:t>
      </w:r>
      <w:r>
        <w:rPr>
          <w:rFonts w:hint="eastAsia"/>
          <w:szCs w:val="28"/>
        </w:rPr>
        <w:t>奖励舞台剧</w:t>
      </w:r>
      <w:r>
        <w:rPr>
          <w:szCs w:val="28"/>
        </w:rPr>
        <w:t>18部，奖励小戏小品10部，奖励影视剧、宣传片、纪录片等4部，极大地提振了创作者的信心，促进我省文艺创作进一步繁荣。</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lang w:bidi="ar"/>
        </w:rPr>
      </w:pPr>
      <w:r>
        <w:rPr>
          <w:rFonts w:hint="eastAsia"/>
          <w:szCs w:val="28"/>
          <w:lang w:bidi="ar"/>
        </w:rPr>
        <w:t>产出指标包括数量指标、质量指标和时效指标3个二级指标，</w:t>
      </w:r>
      <w:r>
        <w:rPr>
          <w:szCs w:val="28"/>
          <w:lang w:bidi="ar"/>
        </w:rPr>
        <w:t>8</w:t>
      </w:r>
      <w:r>
        <w:rPr>
          <w:rFonts w:hint="eastAsia"/>
          <w:szCs w:val="28"/>
          <w:lang w:bidi="ar"/>
        </w:rPr>
        <w:t>个三级指标，指标总分值50分，自评得分48.65分，得分率97.3%。指标分析如下：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110"/>
        <w:gridCol w:w="1140"/>
        <w:gridCol w:w="752"/>
        <w:gridCol w:w="851"/>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资助舞台剧（部）、资助影视剧（部）、资助纪录片、动画片（部）</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≥15部</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32部</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4.65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资助舞台剧演出场次</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≥10次</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10次</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具有较高艺术水准</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较高</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制作水准达标率</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≥80%</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宣传及时性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组织电影审查及时性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组织调研督导及时性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组织重大主题文艺创作及时性</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5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color w:val="000000"/>
                <w:sz w:val="22"/>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color w:val="000000"/>
                <w:sz w:val="22"/>
              </w:rPr>
              <w:t>48.65</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b/>
                <w:color w:val="000000"/>
                <w:sz w:val="22"/>
              </w:rPr>
              <w:t>97.3%</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2021年度，奖励影视剧</w:t>
      </w:r>
      <w:r>
        <w:rPr>
          <w:szCs w:val="28"/>
          <w:lang w:bidi="ar"/>
        </w:rPr>
        <w:t>4部，分别是《足球·少年》《青春敦煌》《脱贫攻坚中的精神力量》《人类的记忆——中国的世界遗产之敦煌莫高窟》；奖励舞台剧18部，分别是庆祝建党百年大型话剧《八步沙》，以及《大豆谣》《肝胆祁连》等17部精品舞台剧；奖励《春到山乡》等小戏小品10部</w:t>
      </w:r>
      <w:r>
        <w:rPr>
          <w:rFonts w:hint="eastAsia"/>
          <w:szCs w:val="28"/>
          <w:lang w:bidi="ar"/>
        </w:rPr>
        <w:t>；</w:t>
      </w:r>
      <w:r>
        <w:rPr>
          <w:szCs w:val="28"/>
          <w:lang w:bidi="ar"/>
        </w:rPr>
        <w:t>17部奖补的舞台剧演出场次均在10场以上。</w:t>
      </w:r>
      <w:r>
        <w:rPr>
          <w:rFonts w:hint="eastAsia"/>
          <w:szCs w:val="28"/>
          <w:lang w:bidi="ar"/>
        </w:rPr>
        <w:t>数量指标均达到目标值，因资助舞台剧（部）、资助影视剧（部）、资助纪录片、动画片（部）实际完成值超过目标值</w:t>
      </w:r>
      <w:r>
        <w:rPr>
          <w:szCs w:val="28"/>
          <w:lang w:bidi="ar"/>
        </w:rPr>
        <w:t>130%导致扣分。</w:t>
      </w:r>
      <w:r>
        <w:rPr>
          <w:rFonts w:hint="eastAsia"/>
          <w:szCs w:val="28"/>
          <w:lang w:bidi="ar"/>
        </w:rPr>
        <w:t>指标分值合计</w:t>
      </w:r>
      <w:r>
        <w:rPr>
          <w:szCs w:val="28"/>
          <w:lang w:bidi="ar"/>
        </w:rPr>
        <w:t>12</w:t>
      </w:r>
      <w:r>
        <w:rPr>
          <w:rFonts w:hint="eastAsia"/>
          <w:szCs w:val="28"/>
          <w:lang w:bidi="ar"/>
        </w:rPr>
        <w:t>分，按评分标准得10.65分，得分率88.75%。</w:t>
      </w:r>
    </w:p>
    <w:p>
      <w:pPr>
        <w:ind w:firstLine="562"/>
        <w:rPr>
          <w:szCs w:val="28"/>
        </w:rPr>
      </w:pPr>
      <w:r>
        <w:rPr>
          <w:rFonts w:hint="eastAsia"/>
          <w:b/>
          <w:bCs/>
          <w:szCs w:val="28"/>
        </w:rPr>
        <w:t>质量指标：</w:t>
      </w:r>
      <w:r>
        <w:rPr>
          <w:rFonts w:hint="eastAsia"/>
          <w:szCs w:val="28"/>
        </w:rPr>
        <w:t>本年度奖励的</w:t>
      </w:r>
      <w:r>
        <w:rPr>
          <w:szCs w:val="28"/>
        </w:rPr>
        <w:t>4部影视剧均达到了较高的艺术水准和制作水准；话剧《八步沙》5月20日在兰州首演，并作为庆祝中国共产党成立100周年晋京展演剧目在北京演出2场；17部奖补的舞台剧演出场次均在10场以上；10部小戏小品以惠民演出的方式进行了巡演</w:t>
      </w:r>
      <w:r>
        <w:rPr>
          <w:rFonts w:hint="eastAsia"/>
          <w:szCs w:val="28"/>
        </w:rPr>
        <w:t>，确保了剧目具有较高艺术水准并且制作水准达标率达到1</w:t>
      </w:r>
      <w:r>
        <w:rPr>
          <w:szCs w:val="28"/>
        </w:rPr>
        <w:t>00%</w:t>
      </w:r>
      <w:r>
        <w:rPr>
          <w:rFonts w:hint="eastAsia"/>
          <w:szCs w:val="28"/>
        </w:rPr>
        <w:t>。质量指标均达到目标值，指标分值合计</w:t>
      </w:r>
      <w:r>
        <w:rPr>
          <w:szCs w:val="28"/>
        </w:rPr>
        <w:t>18</w:t>
      </w:r>
      <w:r>
        <w:rPr>
          <w:rFonts w:hint="eastAsia"/>
          <w:szCs w:val="28"/>
        </w:rPr>
        <w:t>分，按评分标准得</w:t>
      </w:r>
      <w:r>
        <w:rPr>
          <w:szCs w:val="28"/>
        </w:rPr>
        <w:t>18</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奖补资助项目均按时限要求完成征集、审查、评审、资助、演出、展示等各项工作，及时宣传、组织电影审查、组织调研督导和组织重大主题文艺创作，各项指标均达到了目标值。指标分值合计</w:t>
      </w:r>
      <w:r>
        <w:rPr>
          <w:szCs w:val="28"/>
        </w:rPr>
        <w:t>20</w:t>
      </w:r>
      <w:r>
        <w:rPr>
          <w:rFonts w:hint="eastAsia"/>
          <w:szCs w:val="28"/>
        </w:rPr>
        <w:t>分，按评分标准得</w:t>
      </w:r>
      <w:r>
        <w:rPr>
          <w:szCs w:val="28"/>
        </w:rPr>
        <w:t>20</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4</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1470"/>
        <w:gridCol w:w="1445"/>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全民文化素养</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群众生活丰富度</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舆论引导力</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群众享受到基本文化权益</w:t>
            </w:r>
          </w:p>
        </w:tc>
        <w:tc>
          <w:tcPr>
            <w:tcW w:w="14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提高</w:t>
            </w:r>
          </w:p>
        </w:tc>
        <w:tc>
          <w:tcPr>
            <w:tcW w:w="14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r>
              <w:rPr>
                <w:rFonts w:cs="仿宋_GB2312"/>
                <w:color w:val="000000"/>
                <w:sz w:val="24"/>
                <w:szCs w:val="24"/>
              </w:rPr>
              <w:t>00</w:t>
            </w:r>
            <w:r>
              <w:rPr>
                <w:rFonts w:hint="eastAsia"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项目的实施激励了我省文艺单位和文艺工作者创作影视精品和精品舞台剧目的热情，特别是该奖补向基层院团倾斜，对基层院团克服疫情影响，保持创作热度起到了有力支撑。奖补标准中规定了项目的播放量和演出场次，间接惠及更多人民群众，提高了全民文化素养，丰富了群众生活，提高了舆论引导力，达到了目标值。指标分值</w:t>
      </w:r>
      <w:r>
        <w:rPr>
          <w:szCs w:val="28"/>
          <w:lang w:bidi="ar"/>
        </w:rPr>
        <w:t>22</w:t>
      </w:r>
      <w:r>
        <w:rPr>
          <w:rFonts w:hint="eastAsia"/>
          <w:szCs w:val="28"/>
          <w:lang w:bidi="ar"/>
        </w:rPr>
        <w:t>分，按评分标准得</w:t>
      </w:r>
      <w:r>
        <w:rPr>
          <w:szCs w:val="28"/>
          <w:lang w:bidi="ar"/>
        </w:rPr>
        <w:t>22</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本年度奖励舞台剧</w:t>
      </w:r>
      <w:r>
        <w:rPr>
          <w:szCs w:val="28"/>
        </w:rPr>
        <w:t>18部，奖励小戏小品10部，奖励影视剧、宣传片、纪录片等4部，</w:t>
      </w:r>
      <w:r>
        <w:rPr>
          <w:rFonts w:hint="eastAsia"/>
          <w:szCs w:val="28"/>
        </w:rPr>
        <w:t>激励文艺工作者创作出一批高质量的优秀文艺作品，进一步保障我省文艺精品创作生产，满足了群众享受基本公共文化服务的权益</w:t>
      </w:r>
      <w:r>
        <w:rPr>
          <w:szCs w:val="28"/>
        </w:rPr>
        <w:t>。</w:t>
      </w:r>
      <w:r>
        <w:rPr>
          <w:rFonts w:hint="eastAsia"/>
          <w:szCs w:val="28"/>
        </w:rPr>
        <w:t>可持续影响指标达到了目标值，指标分值</w:t>
      </w:r>
      <w:r>
        <w:rPr>
          <w:szCs w:val="28"/>
        </w:rPr>
        <w:t>8</w:t>
      </w:r>
      <w:r>
        <w:rPr>
          <w:rFonts w:hint="eastAsia"/>
          <w:szCs w:val="28"/>
        </w:rPr>
        <w:t>分，按评分标准得</w:t>
      </w:r>
      <w:r>
        <w:rPr>
          <w:szCs w:val="28"/>
        </w:rPr>
        <w:t>8</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满意度指标包括群众满意度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1545"/>
        <w:gridCol w:w="1463"/>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8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4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63"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群众满意度</w:t>
            </w:r>
          </w:p>
        </w:tc>
        <w:tc>
          <w:tcPr>
            <w:tcW w:w="154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463"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该项目的实施，极大地激励文艺工作者创作出一批高质量的优秀文艺作品，进一步保障我省文艺精品创作生产，丰富群众精神文化生活。</w:t>
      </w:r>
      <w:r>
        <w:rPr>
          <w:rFonts w:hint="eastAsia" w:cs="仿宋_GB2312"/>
          <w:color w:val="333333"/>
          <w:szCs w:val="28"/>
        </w:rPr>
        <w:t>广大人民群众通过各种文艺作品享受到了文化服务，放松了身心，对剧目的质量不断好评，群众满意度较高，满意度为</w:t>
      </w:r>
      <w:r>
        <w:rPr>
          <w:rFonts w:cs="仿宋_GB2312"/>
          <w:color w:val="333333"/>
          <w:szCs w:val="28"/>
        </w:rPr>
        <w:t>95%</w:t>
      </w:r>
      <w:r>
        <w:rPr>
          <w:rFonts w:hint="eastAsia"/>
          <w:szCs w:val="21"/>
        </w:rPr>
        <w:t>，达到了预期目标值。满意度指标分值10分，按评分标准得10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资助舞台剧（部）、资助影视剧（部）、资助纪录片、动画片（部）：</w:t>
      </w:r>
      <w:r>
        <w:rPr>
          <w:rFonts w:hint="eastAsia"/>
        </w:rPr>
        <w:t>指标达到目标值，由于实际完成值超过目标值</w:t>
      </w:r>
      <w:r>
        <w:t>130%导致扣分。</w:t>
      </w:r>
      <w:r>
        <w:rPr>
          <w:rFonts w:hint="eastAsia"/>
        </w:rPr>
        <w:t>下一年度将综合考虑各方面因素，科学、合理的设置年度指标值。</w:t>
      </w:r>
    </w:p>
    <w:p>
      <w:pPr>
        <w:pStyle w:val="3"/>
        <w:ind w:firstLine="643"/>
      </w:pPr>
      <w:bookmarkStart w:id="82" w:name="_Toc25905"/>
      <w:r>
        <w:rPr>
          <w:rFonts w:hint="eastAsia"/>
        </w:rPr>
        <w:t>（十一）项目11－中国嘉峪关国际短片电影展补助</w:t>
      </w:r>
      <w:bookmarkEnd w:id="82"/>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中国嘉峪关国际短片电影展补助项目年初预算数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80万元，全年支出数80万元，预算执行率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做好第九届中国嘉峪关国际短片电影展规划策划和前期筹备工作，本届影展旨在搭建国内主旋律短片影视作品集中展示交流平台，促进体现“四个讴歌”的影视作品创作生产，加大力度培育我省青年影视人才，进一步提高影展的知名度和影响</w:t>
      </w:r>
      <w:r>
        <w:rPr>
          <w:szCs w:val="28"/>
        </w:rPr>
        <w:t>。</w:t>
      </w:r>
    </w:p>
    <w:p>
      <w:pPr>
        <w:ind w:firstLine="562"/>
        <w:rPr>
          <w:szCs w:val="28"/>
        </w:rPr>
      </w:pPr>
      <w:r>
        <w:rPr>
          <w:rFonts w:hint="eastAsia"/>
          <w:b/>
          <w:bCs/>
          <w:szCs w:val="28"/>
        </w:rPr>
        <w:t>实际完成情况：</w:t>
      </w:r>
      <w:r>
        <w:rPr>
          <w:rFonts w:hint="eastAsia"/>
          <w:szCs w:val="28"/>
        </w:rPr>
        <w:t>从第八届开始影展办展周期调整为两年一办，第九届中国嘉峪关国际短片电影展计划于2022年10月底前举办，目前已初步完成第九届中国嘉峪关国际短片电影展活动总体方案，正在进行展会报批程序</w:t>
      </w:r>
      <w:r>
        <w:rPr>
          <w:szCs w:val="28"/>
        </w:rPr>
        <w:t>。</w:t>
      </w:r>
    </w:p>
    <w:p>
      <w:pPr>
        <w:pStyle w:val="4"/>
        <w:ind w:firstLine="562"/>
      </w:pPr>
      <w:r>
        <w:rPr>
          <w:rFonts w:hint="eastAsia"/>
        </w:rPr>
        <w:t>3</w:t>
      </w:r>
      <w:r>
        <w:rPr>
          <w:rFonts w:hint="eastAsia" w:hAnsi="宋体"/>
        </w:rPr>
        <w:t>、</w:t>
      </w:r>
      <w:r>
        <w:rPr>
          <w:rFonts w:hint="eastAsia"/>
        </w:rPr>
        <w:t>各项指标完成情况分析</w:t>
      </w:r>
    </w:p>
    <w:p>
      <w:pPr>
        <w:ind w:firstLine="562"/>
        <w:rPr>
          <w:szCs w:val="28"/>
          <w:lang w:bidi="ar"/>
        </w:rPr>
      </w:pPr>
      <w:r>
        <w:rPr>
          <w:rFonts w:hint="eastAsia"/>
          <w:b/>
          <w:bCs/>
          <w:szCs w:val="28"/>
          <w:lang w:bidi="ar"/>
        </w:rPr>
        <w:t>情况说明：</w:t>
      </w:r>
      <w:r>
        <w:rPr>
          <w:rFonts w:hint="eastAsia"/>
          <w:szCs w:val="28"/>
          <w:lang w:bidi="ar"/>
        </w:rPr>
        <w:t>由于本项目计划</w:t>
      </w:r>
      <w:r>
        <w:rPr>
          <w:rFonts w:hint="eastAsia"/>
          <w:szCs w:val="28"/>
        </w:rPr>
        <w:t>于2022年10月底前举办，2021年度</w:t>
      </w:r>
      <w:r>
        <w:rPr>
          <w:rFonts w:hint="eastAsia"/>
          <w:szCs w:val="28"/>
          <w:lang w:bidi="ar"/>
        </w:rPr>
        <w:t>项目实际工作与年初绩效指标不相符，无法评价，我部结合本年度工作实际内容和资金花钱方向，重新设置新指标，切实做到指标细化量化、科学可行。由于系统指标无法更改，我部在系统中按照原指标上报，但2021年度中国嘉峪关国际短片电影展补助项目具体指标数据分析全部以此报告为准。</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产出指标包括数量指标、质量指标、时效指标和成本指标4个二级指标，6个三级指标，指标总分值50分，自评得分50分，得分率100%。指标分析如下：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5"/>
        <w:gridCol w:w="1350"/>
        <w:gridCol w:w="1392"/>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规划举办活动项数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=15项</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15项</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会前准备工作完成率</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参展影片的政策符合度</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全国征片流程规范性</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规范</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会前筹备工作完成及时性</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成本控制情况</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根据中宣部办公厅《关于反馈举办第八届嘉峪关国际短片影视展有关事项意见的函》和第八届嘉峪关短片电影展部长办公会议精神，将电影展由原来的一年一办调整为两年一办。数量指标均达到了目标值。指标分值合计</w:t>
      </w:r>
      <w:r>
        <w:rPr>
          <w:rFonts w:hint="eastAsia"/>
          <w:szCs w:val="28"/>
          <w:lang w:val="en-US" w:eastAsia="zh-CN" w:bidi="ar"/>
        </w:rPr>
        <w:t>9</w:t>
      </w:r>
      <w:r>
        <w:rPr>
          <w:rFonts w:hint="eastAsia"/>
          <w:szCs w:val="28"/>
          <w:lang w:bidi="ar"/>
        </w:rPr>
        <w:t>分，按评分标准得</w:t>
      </w:r>
      <w:r>
        <w:rPr>
          <w:rFonts w:hint="eastAsia"/>
          <w:szCs w:val="28"/>
          <w:lang w:val="en-US" w:eastAsia="zh-CN" w:bidi="ar"/>
        </w:rPr>
        <w:t>9</w:t>
      </w:r>
      <w:r>
        <w:rPr>
          <w:rFonts w:hint="eastAsia"/>
          <w:szCs w:val="28"/>
          <w:lang w:bidi="ar"/>
        </w:rPr>
        <w:t>分，得分率100%。</w:t>
      </w:r>
    </w:p>
    <w:p>
      <w:pPr>
        <w:ind w:firstLine="562"/>
        <w:rPr>
          <w:szCs w:val="28"/>
        </w:rPr>
      </w:pPr>
      <w:r>
        <w:rPr>
          <w:rFonts w:hint="eastAsia"/>
          <w:b/>
          <w:bCs/>
          <w:szCs w:val="28"/>
        </w:rPr>
        <w:t>质量指标：</w:t>
      </w:r>
      <w:r>
        <w:rPr>
          <w:rFonts w:hint="eastAsia"/>
          <w:szCs w:val="28"/>
          <w:lang w:bidi="ar"/>
        </w:rPr>
        <w:t>第九届中国嘉峪关国际短片电影展计划于2022年10底前举办，践行开放、高效、绿色、共享的办展理念，拟开展开幕式、面向全国征片活动、“起航，光影新征程”主题演讲、红色电影创作新趋势论坛、“初见”短片电影创作大师班、“西风东渐”优秀甘肃本土剧本创投活动、城市主题纪录片论坛、纪录电影培育计划、“做生活的导演”优秀大学生电影作品征集推优活动、“崛起！西部新青年”优秀作品高校展映活动、“石榴籽”民族题材短片电影征集及展映展播活动、民族题材电影创作论坛、大学电影思政课实践论坛、“甘产”精品电影展等15项活动，会前准备工作已完成，保障了后续工作的有效进展</w:t>
      </w:r>
      <w:r>
        <w:rPr>
          <w:szCs w:val="28"/>
          <w:lang w:bidi="ar"/>
        </w:rPr>
        <w:t>。</w:t>
      </w:r>
      <w:r>
        <w:rPr>
          <w:rFonts w:hint="eastAsia"/>
          <w:szCs w:val="28"/>
        </w:rPr>
        <w:t>参展影片均符合相关政策的要求，保障了后续展映的效果；全国征片流程比较规范，保障了征片过程的公平公正。质量指标均达到了目标值，指标分值合计</w:t>
      </w:r>
      <w:r>
        <w:rPr>
          <w:rFonts w:hint="eastAsia"/>
          <w:szCs w:val="28"/>
          <w:lang w:val="en-US" w:eastAsia="zh-CN"/>
        </w:rPr>
        <w:t>29</w:t>
      </w:r>
      <w:r>
        <w:rPr>
          <w:rFonts w:hint="eastAsia"/>
          <w:szCs w:val="28"/>
        </w:rPr>
        <w:t>分，按评分标准得</w:t>
      </w:r>
      <w:r>
        <w:rPr>
          <w:rFonts w:hint="eastAsia"/>
          <w:szCs w:val="28"/>
          <w:lang w:val="en-US" w:eastAsia="zh-CN"/>
        </w:rPr>
        <w:t>29</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会前筹备工作均按照年度工作计划在规定时间内完成，达到了既定目标值。指标分值8分，按评分标准得8分，得分率</w:t>
      </w:r>
      <w:r>
        <w:rPr>
          <w:szCs w:val="28"/>
        </w:rPr>
        <w:t>100</w:t>
      </w:r>
      <w:r>
        <w:rPr>
          <w:rFonts w:hint="eastAsia"/>
          <w:szCs w:val="28"/>
        </w:rPr>
        <w:t>%。</w:t>
      </w:r>
    </w:p>
    <w:p>
      <w:pPr>
        <w:ind w:firstLine="562"/>
        <w:rPr>
          <w:b/>
          <w:bCs/>
          <w:szCs w:val="28"/>
        </w:rPr>
      </w:pPr>
      <w:r>
        <w:rPr>
          <w:rFonts w:hint="eastAsia"/>
          <w:b/>
          <w:bCs/>
          <w:szCs w:val="28"/>
        </w:rPr>
        <w:t>成本指标：</w:t>
      </w:r>
      <w:r>
        <w:rPr>
          <w:rFonts w:hint="eastAsia"/>
          <w:szCs w:val="28"/>
        </w:rPr>
        <w:t>2021年我部中国嘉峪关国际短片电影展补助项目全年预算资金为80万，实际支出80万元，无超预算开支，成本控制在预算范围内，达到了预期目标值。</w:t>
      </w:r>
      <w:r>
        <w:rPr>
          <w:rStyle w:val="24"/>
          <w:rFonts w:hint="eastAsia"/>
          <w:sz w:val="28"/>
          <w:szCs w:val="28"/>
        </w:rPr>
        <w:t>指标</w:t>
      </w:r>
      <w:r>
        <w:rPr>
          <w:rFonts w:hint="eastAsia"/>
          <w:szCs w:val="28"/>
        </w:rPr>
        <w:t>分值4分，按评分标准得4分，得分率100%。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w:t>
      </w:r>
      <w:r>
        <w:rPr>
          <w:rFonts w:hint="eastAsia"/>
          <w:szCs w:val="28"/>
          <w:lang w:eastAsia="zh-CN" w:bidi="ar"/>
        </w:rPr>
        <w:t>经济效益指标、</w:t>
      </w:r>
      <w:r>
        <w:rPr>
          <w:rFonts w:hint="eastAsia"/>
          <w:szCs w:val="28"/>
          <w:lang w:bidi="ar"/>
        </w:rPr>
        <w:t>社会效益指标和可持续影响指标</w:t>
      </w:r>
      <w:r>
        <w:rPr>
          <w:rFonts w:hint="eastAsia"/>
          <w:szCs w:val="28"/>
          <w:lang w:val="en-US" w:eastAsia="zh-CN" w:bidi="ar"/>
        </w:rPr>
        <w:t>3</w:t>
      </w:r>
      <w:r>
        <w:rPr>
          <w:rFonts w:hint="eastAsia"/>
          <w:szCs w:val="28"/>
          <w:lang w:bidi="ar"/>
        </w:rPr>
        <w:t>个二级指标，3个三级指标，指标总分值30分，自评得分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1513"/>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促进全省电影产业发展</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有效促进</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推动甘肃电影走出去</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有效推动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举办时限可持续性</w:t>
            </w:r>
          </w:p>
        </w:tc>
        <w:tc>
          <w:tcPr>
            <w:tcW w:w="15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两年一次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经济效益指标：</w:t>
      </w:r>
      <w:r>
        <w:rPr>
          <w:rFonts w:hint="eastAsia"/>
          <w:szCs w:val="28"/>
          <w:lang w:bidi="ar"/>
        </w:rPr>
        <w:t>通过项目的实施，已对接有关项目进行创拍，促进了全省电影产业发展，为电影拍摄、项目创投等工作提质增效，经济效益良好，达到了既定目标值。指标分值10分，按评分标准得10分，得分率</w:t>
      </w:r>
      <w:r>
        <w:rPr>
          <w:szCs w:val="28"/>
          <w:lang w:bidi="ar"/>
        </w:rPr>
        <w:t>100</w:t>
      </w:r>
      <w:r>
        <w:rPr>
          <w:rFonts w:hint="eastAsia"/>
          <w:szCs w:val="28"/>
          <w:lang w:bidi="ar"/>
        </w:rPr>
        <w:t>%。</w:t>
      </w:r>
    </w:p>
    <w:p>
      <w:pPr>
        <w:ind w:firstLine="562"/>
        <w:rPr>
          <w:szCs w:val="28"/>
          <w:lang w:bidi="ar"/>
        </w:rPr>
      </w:pPr>
      <w:r>
        <w:rPr>
          <w:rFonts w:hint="eastAsia"/>
          <w:b/>
          <w:bCs/>
          <w:szCs w:val="28"/>
          <w:lang w:bidi="ar"/>
        </w:rPr>
        <w:t>社会效益指标：</w:t>
      </w:r>
      <w:r>
        <w:rPr>
          <w:rFonts w:hint="eastAsia"/>
          <w:szCs w:val="28"/>
          <w:lang w:bidi="ar"/>
        </w:rPr>
        <w:t>通过项目的实施，积极搭建全国短片电影重要交流推广平台，有效推动了甘肃电影走出去的步伐。指标分值10分，按评分标准得10分，得分率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根据中宣部办公厅《关于反馈举办第八届嘉峪关国际短片影视展有关事项意见的函》和第八届嘉峪关短片电影展部长办公会议精神，将电影展由原来的一年一办调整为两年一办，项目的实施可持续进行，有利于提振全省电影事业产业发展信心</w:t>
      </w:r>
      <w:r>
        <w:rPr>
          <w:szCs w:val="28"/>
        </w:rPr>
        <w:t>。</w:t>
      </w:r>
      <w:r>
        <w:rPr>
          <w:rFonts w:hint="eastAsia"/>
          <w:szCs w:val="28"/>
        </w:rPr>
        <w:t>指标分值10分，按评分标准得10分，得分率100%。</w:t>
      </w:r>
    </w:p>
    <w:p>
      <w:pPr>
        <w:ind w:firstLine="560"/>
        <w:rPr>
          <w:szCs w:val="28"/>
        </w:rPr>
      </w:pPr>
      <w:r>
        <w:rPr>
          <w:rFonts w:hint="eastAsia"/>
          <w:b/>
          <w:bCs/>
          <w:szCs w:val="28"/>
        </w:rPr>
        <w:t>（3）满意度指标</w:t>
      </w:r>
    </w:p>
    <w:p>
      <w:pPr>
        <w:ind w:firstLine="560"/>
      </w:pPr>
      <w:r>
        <w:rPr>
          <w:rFonts w:hint="eastAsia"/>
          <w:szCs w:val="28"/>
          <w:lang w:bidi="ar"/>
        </w:rPr>
        <w:t>满意度指标包括主办方满意度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500"/>
        <w:gridCol w:w="1778"/>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1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0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778"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2"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主办方满意度</w:t>
            </w:r>
          </w:p>
        </w:tc>
        <w:tc>
          <w:tcPr>
            <w:tcW w:w="150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w:t>
            </w:r>
            <w:r>
              <w:rPr>
                <w:rFonts w:hint="eastAsia"/>
                <w:color w:val="000000"/>
                <w:sz w:val="24"/>
                <w:szCs w:val="24"/>
                <w:lang w:val="en-US" w:eastAsia="zh-CN"/>
              </w:rPr>
              <w:t>85</w:t>
            </w:r>
            <w:r>
              <w:rPr>
                <w:rFonts w:hint="eastAsia"/>
                <w:color w:val="000000"/>
                <w:sz w:val="24"/>
                <w:szCs w:val="24"/>
              </w:rPr>
              <w:t>%</w:t>
            </w:r>
          </w:p>
        </w:tc>
        <w:tc>
          <w:tcPr>
            <w:tcW w:w="1778"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hint="default" w:eastAsia="仿宋_GB2312" w:cs="仿宋_GB2312"/>
                <w:sz w:val="24"/>
                <w:szCs w:val="24"/>
                <w:lang w:val="en-US" w:eastAsia="zh-CN"/>
              </w:rPr>
            </w:pPr>
            <w:r>
              <w:rPr>
                <w:rFonts w:hint="eastAsia"/>
                <w:color w:val="000000"/>
                <w:sz w:val="24"/>
                <w:szCs w:val="24"/>
                <w:lang w:val="en-US" w:eastAsia="zh-CN"/>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rFonts w:hint="default" w:eastAsia="仿宋_GB2312"/>
                <w:b/>
                <w:bCs/>
                <w:sz w:val="24"/>
                <w:szCs w:val="24"/>
                <w:lang w:val="en-US" w:eastAsia="zh-CN"/>
              </w:rPr>
            </w:pPr>
            <w:r>
              <w:rPr>
                <w:rFonts w:hint="eastAsia"/>
                <w:b/>
                <w:bCs/>
                <w:sz w:val="24"/>
                <w:szCs w:val="24"/>
                <w:lang w:val="en-US" w:eastAsia="zh-CN"/>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w:t>
      </w:r>
      <w:r>
        <w:rPr>
          <w:rFonts w:hint="eastAsia" w:ascii="宋体" w:hAnsi="宋体"/>
          <w:color w:val="333333"/>
          <w:szCs w:val="28"/>
        </w:rPr>
        <w:t>年我部对嘉峪关国际短片电影展进行补助，主要用于优秀作品征集推优展映、专家研讨交流、论坛活动等，从而激发全省短片影视创作活力，满足人民群众的文化需求，补助资金拨付及时，各项筹备工作开展顺利，赢得了主办方的好评，主办方满意度为95%，达到了预期目标值</w:t>
      </w:r>
      <w:r>
        <w:rPr>
          <w:rFonts w:hint="eastAsia"/>
          <w:szCs w:val="21"/>
        </w:rPr>
        <w:t>。标分值10分，按评分标准得10</w:t>
      </w:r>
      <w:r>
        <w:rPr>
          <w:rFonts w:hint="eastAsia" w:ascii="宋体" w:hAnsi="宋体"/>
          <w:color w:val="333333"/>
          <w:szCs w:val="28"/>
        </w:rPr>
        <w:t>分，</w:t>
      </w:r>
      <w:r>
        <w:rPr>
          <w:rFonts w:hint="eastAsia"/>
          <w:szCs w:val="21"/>
        </w:rPr>
        <w:t>得分率100%。</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0"/>
      </w:pPr>
      <w:r>
        <w:rPr>
          <w:rFonts w:hint="eastAsia"/>
        </w:rPr>
        <w:t>无。</w:t>
      </w:r>
    </w:p>
    <w:p>
      <w:pPr>
        <w:pStyle w:val="3"/>
        <w:ind w:firstLine="643"/>
      </w:pPr>
      <w:bookmarkStart w:id="83" w:name="_Toc21205"/>
      <w:r>
        <w:rPr>
          <w:rFonts w:hint="eastAsia"/>
        </w:rPr>
        <w:t>（十二）项目12－农村电影公益放映补贴经费</w:t>
      </w:r>
      <w:bookmarkEnd w:id="83"/>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农村电影公益放映补贴经费项目年初预算数</w:t>
      </w:r>
      <w:r>
        <w:rPr>
          <w:szCs w:val="28"/>
        </w:rPr>
        <w:t>3621</w:t>
      </w:r>
      <w:r>
        <w:rPr>
          <w:rFonts w:hint="eastAsia"/>
          <w:szCs w:val="28"/>
        </w:rPr>
        <w:t>万元，</w:t>
      </w:r>
      <w:r>
        <w:rPr>
          <w:rFonts w:hint="eastAsia"/>
          <w:szCs w:val="28"/>
          <w:lang w:eastAsia="zh-CN"/>
        </w:rPr>
        <w:t>上年结转资金</w:t>
      </w:r>
      <w:r>
        <w:rPr>
          <w:rFonts w:hint="eastAsia"/>
          <w:szCs w:val="28"/>
          <w:lang w:val="en-US" w:eastAsia="zh-CN"/>
        </w:rPr>
        <w:t>163.16万元，</w:t>
      </w:r>
      <w:r>
        <w:rPr>
          <w:rFonts w:hint="eastAsia"/>
          <w:szCs w:val="28"/>
        </w:rPr>
        <w:t>全年预算数</w:t>
      </w:r>
      <w:r>
        <w:rPr>
          <w:rFonts w:hint="eastAsia"/>
          <w:szCs w:val="28"/>
          <w:lang w:val="en-US" w:eastAsia="zh-CN"/>
        </w:rPr>
        <w:t>3784.16</w:t>
      </w:r>
      <w:r>
        <w:rPr>
          <w:rFonts w:hint="eastAsia"/>
          <w:szCs w:val="28"/>
        </w:rPr>
        <w:t>万元，全年支出数</w:t>
      </w:r>
      <w:r>
        <w:rPr>
          <w:rFonts w:hint="eastAsia"/>
          <w:szCs w:val="28"/>
          <w:lang w:val="en-US" w:eastAsia="zh-CN"/>
        </w:rPr>
        <w:t>3376.88</w:t>
      </w:r>
      <w:r>
        <w:rPr>
          <w:rFonts w:hint="eastAsia"/>
          <w:szCs w:val="28"/>
        </w:rPr>
        <w:t>万元，预算执行率89.</w:t>
      </w:r>
      <w:r>
        <w:rPr>
          <w:rFonts w:hint="eastAsia"/>
          <w:szCs w:val="28"/>
          <w:lang w:val="en-US" w:eastAsia="zh-CN"/>
        </w:rPr>
        <w:t>24</w:t>
      </w:r>
      <w:r>
        <w:rPr>
          <w:rFonts w:hint="eastAsia"/>
          <w:szCs w:val="28"/>
        </w:rPr>
        <w:t>%，指标分值10分，按评分标准得8.9</w:t>
      </w:r>
      <w:r>
        <w:rPr>
          <w:rFonts w:hint="eastAsia"/>
          <w:szCs w:val="28"/>
          <w:lang w:val="en-US" w:eastAsia="zh-CN"/>
        </w:rPr>
        <w:t>2</w:t>
      </w:r>
      <w:r>
        <w:rPr>
          <w:rFonts w:hint="eastAsia"/>
          <w:szCs w:val="28"/>
        </w:rPr>
        <w:t>分，得分率89.</w:t>
      </w:r>
      <w:r>
        <w:rPr>
          <w:rFonts w:hint="eastAsia"/>
          <w:szCs w:val="28"/>
          <w:lang w:val="en-US" w:eastAsia="zh-CN"/>
        </w:rPr>
        <w:t>2</w:t>
      </w:r>
      <w:r>
        <w:rPr>
          <w:rFonts w:hint="eastAsia"/>
          <w:szCs w:val="28"/>
        </w:rPr>
        <w:t>%。</w:t>
      </w:r>
    </w:p>
    <w:p>
      <w:pPr>
        <w:keepNext/>
        <w:keepLines/>
        <w:ind w:firstLine="562"/>
        <w:outlineLvl w:val="2"/>
        <w:rPr>
          <w:b/>
          <w:bCs/>
          <w:szCs w:val="28"/>
        </w:rPr>
      </w:pPr>
      <w:r>
        <w:rPr>
          <w:rFonts w:hint="eastAsia"/>
          <w:b/>
          <w:bCs/>
          <w:szCs w:val="28"/>
        </w:rPr>
        <w:t>2</w:t>
      </w:r>
      <w:r>
        <w:rPr>
          <w:rFonts w:hint="eastAsia" w:hAnsi="宋体"/>
          <w:b/>
          <w:bCs/>
          <w:szCs w:val="28"/>
        </w:rPr>
        <w:t>、</w:t>
      </w:r>
      <w:r>
        <w:rPr>
          <w:rFonts w:hint="eastAsia"/>
          <w:b/>
          <w:bCs/>
          <w:szCs w:val="28"/>
        </w:rPr>
        <w:t>总体绩效目</w:t>
      </w:r>
      <w:r>
        <w:rPr>
          <w:rStyle w:val="30"/>
          <w:rFonts w:hint="eastAsia"/>
        </w:rPr>
        <w:t>标</w:t>
      </w:r>
      <w:r>
        <w:rPr>
          <w:rFonts w:hint="eastAsia"/>
          <w:b/>
          <w:bCs/>
          <w:szCs w:val="28"/>
        </w:rPr>
        <w:t>完成情况分析</w:t>
      </w:r>
    </w:p>
    <w:p>
      <w:pPr>
        <w:ind w:firstLine="560"/>
        <w:rPr>
          <w:szCs w:val="28"/>
        </w:rPr>
      </w:pPr>
      <w:r>
        <w:rPr>
          <w:rFonts w:hint="eastAsia"/>
          <w:szCs w:val="28"/>
        </w:rPr>
        <w:t>本项目自评价得分</w:t>
      </w:r>
      <w:r>
        <w:rPr>
          <w:szCs w:val="28"/>
        </w:rPr>
        <w:t>98</w:t>
      </w:r>
      <w:r>
        <w:rPr>
          <w:rFonts w:hint="eastAsia"/>
          <w:szCs w:val="28"/>
        </w:rPr>
        <w:t>.9</w:t>
      </w:r>
      <w:r>
        <w:rPr>
          <w:rFonts w:hint="eastAsia"/>
          <w:szCs w:val="28"/>
          <w:lang w:val="en-US" w:eastAsia="zh-CN"/>
        </w:rPr>
        <w:t>2</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省统计上报有效放映点</w:t>
      </w:r>
      <w:r>
        <w:rPr>
          <w:szCs w:val="28"/>
        </w:rPr>
        <w:t>14718个，其中：行政村12155个、中心村79个、乡镇驻地597个、城镇社区607个、固定放映点235个，其余放映点1045个。年放映公益数字电影196692场。</w:t>
      </w:r>
    </w:p>
    <w:p>
      <w:pPr>
        <w:ind w:firstLine="562"/>
        <w:rPr>
          <w:szCs w:val="28"/>
        </w:rPr>
      </w:pPr>
      <w:r>
        <w:rPr>
          <w:rFonts w:hint="eastAsia"/>
          <w:b/>
          <w:bCs/>
          <w:szCs w:val="28"/>
        </w:rPr>
        <w:t>实际完成情况：</w:t>
      </w:r>
      <w:r>
        <w:rPr>
          <w:szCs w:val="28"/>
        </w:rPr>
        <w:t>2021年，我</w:t>
      </w:r>
      <w:r>
        <w:rPr>
          <w:rFonts w:hint="eastAsia"/>
          <w:szCs w:val="28"/>
        </w:rPr>
        <w:t>部</w:t>
      </w:r>
      <w:r>
        <w:rPr>
          <w:szCs w:val="28"/>
        </w:rPr>
        <w:t>按照“每村每月一场”农村电影公益放映的总目标，在调整后的全省14718个有效放映点（其中12155个行政村、79个中心村、597个乡镇驻地、607个城镇社区、235个固定放映点、1045个其他点放映）完成农村电影公益放映196692场，放映完成率达到100%。</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12</w:t>
      </w:r>
      <w:r>
        <w:rPr>
          <w:rFonts w:hint="eastAsia"/>
          <w:szCs w:val="28"/>
          <w:lang w:bidi="ar"/>
        </w:rPr>
        <w:t>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0"/>
        <w:gridCol w:w="1815"/>
        <w:gridCol w:w="1572"/>
        <w:gridCol w:w="747"/>
        <w:gridCol w:w="78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覆盖城镇社区数量</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=607个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607个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覆盖乡镇驻地数量</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=597个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597个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覆盖行政村数量</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=12234个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12334个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固定放映点及其他放映点</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=1280个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1280个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全省放映点</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=14718个</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14718个</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年度内放映有效场次数量达标率</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放映场次完成及时率</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放映服务公司运营支出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=786.77万元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786.77万元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放映员保险支出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=39.34万元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39.34万元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放映员劳务支出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=2202.95万元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2202.95万元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可持续发展基金</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=629.41万元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629.41万元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农村公益电影放映版权购买支出</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=275.37万元</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275.37万元</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78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95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jc w:val="left"/>
        <w:rPr>
          <w:szCs w:val="28"/>
          <w:lang w:bidi="ar"/>
        </w:rPr>
      </w:pPr>
      <w:r>
        <w:rPr>
          <w:rFonts w:hint="eastAsia"/>
          <w:b/>
          <w:bCs/>
          <w:szCs w:val="28"/>
          <w:lang w:bidi="ar"/>
        </w:rPr>
        <w:t>数量指标：</w:t>
      </w:r>
      <w:r>
        <w:rPr>
          <w:rFonts w:hint="eastAsia"/>
          <w:szCs w:val="28"/>
          <w:lang w:bidi="ar"/>
        </w:rPr>
        <w:t>全省14718个有效放映点计划完成农村电影公益放映196692场，</w:t>
      </w:r>
      <w:r>
        <w:rPr>
          <w:szCs w:val="28"/>
          <w:lang w:bidi="ar"/>
        </w:rPr>
        <w:t>实际</w:t>
      </w:r>
      <w:r>
        <w:rPr>
          <w:rFonts w:hint="eastAsia"/>
          <w:szCs w:val="28"/>
          <w:lang w:bidi="ar"/>
        </w:rPr>
        <w:t>放映196692场次，放映</w:t>
      </w:r>
      <w:r>
        <w:rPr>
          <w:szCs w:val="28"/>
          <w:lang w:bidi="ar"/>
        </w:rPr>
        <w:t>完成率达到</w:t>
      </w:r>
      <w:r>
        <w:rPr>
          <w:rFonts w:hint="eastAsia"/>
          <w:szCs w:val="28"/>
          <w:lang w:bidi="ar"/>
        </w:rPr>
        <w:t>100</w:t>
      </w:r>
      <w:r>
        <w:rPr>
          <w:szCs w:val="28"/>
          <w:lang w:bidi="ar"/>
        </w:rPr>
        <w:t>%，</w:t>
      </w:r>
      <w:r>
        <w:rPr>
          <w:rFonts w:hint="eastAsia"/>
          <w:szCs w:val="28"/>
          <w:lang w:bidi="ar"/>
        </w:rPr>
        <w:t>平均每个</w:t>
      </w:r>
      <w:r>
        <w:rPr>
          <w:szCs w:val="28"/>
          <w:lang w:bidi="ar"/>
        </w:rPr>
        <w:t>放映点</w:t>
      </w:r>
      <w:r>
        <w:rPr>
          <w:rFonts w:hint="eastAsia"/>
          <w:szCs w:val="28"/>
          <w:lang w:bidi="ar"/>
        </w:rPr>
        <w:t>放映电影13场次，全省12234个行政村放映点计划放映农村电影146808场，实际放映146808场，平均每村放映12场。其中覆盖城镇社区数量6</w:t>
      </w:r>
      <w:r>
        <w:rPr>
          <w:szCs w:val="28"/>
          <w:lang w:bidi="ar"/>
        </w:rPr>
        <w:t>07个</w:t>
      </w:r>
      <w:r>
        <w:rPr>
          <w:rFonts w:hint="eastAsia"/>
          <w:szCs w:val="28"/>
          <w:lang w:bidi="ar"/>
        </w:rPr>
        <w:t>，覆盖乡镇驻地数量5</w:t>
      </w:r>
      <w:r>
        <w:rPr>
          <w:szCs w:val="28"/>
          <w:lang w:bidi="ar"/>
        </w:rPr>
        <w:t>97</w:t>
      </w:r>
      <w:r>
        <w:rPr>
          <w:rFonts w:hint="eastAsia"/>
          <w:szCs w:val="28"/>
          <w:lang w:bidi="ar"/>
        </w:rPr>
        <w:t>个，覆盖行政村数量1</w:t>
      </w:r>
      <w:r>
        <w:rPr>
          <w:szCs w:val="28"/>
          <w:lang w:bidi="ar"/>
        </w:rPr>
        <w:t>2334</w:t>
      </w:r>
      <w:r>
        <w:rPr>
          <w:rFonts w:hint="eastAsia"/>
          <w:szCs w:val="28"/>
          <w:lang w:bidi="ar"/>
        </w:rPr>
        <w:t>个，固定放映点及其他放映点1</w:t>
      </w:r>
      <w:r>
        <w:rPr>
          <w:szCs w:val="28"/>
          <w:lang w:bidi="ar"/>
        </w:rPr>
        <w:t>280</w:t>
      </w:r>
      <w:r>
        <w:rPr>
          <w:rFonts w:hint="eastAsia"/>
          <w:szCs w:val="28"/>
          <w:lang w:bidi="ar"/>
        </w:rPr>
        <w:t>个，全省放映点1</w:t>
      </w:r>
      <w:r>
        <w:rPr>
          <w:szCs w:val="28"/>
          <w:lang w:bidi="ar"/>
        </w:rPr>
        <w:t>4718</w:t>
      </w:r>
      <w:r>
        <w:rPr>
          <w:rFonts w:hint="eastAsia"/>
          <w:szCs w:val="28"/>
          <w:lang w:bidi="ar"/>
        </w:rPr>
        <w:t>个。数量指标均达到目标值，指标分值合计</w:t>
      </w:r>
      <w:r>
        <w:rPr>
          <w:szCs w:val="28"/>
          <w:lang w:bidi="ar"/>
        </w:rPr>
        <w:t>25</w:t>
      </w:r>
      <w:r>
        <w:rPr>
          <w:rFonts w:hint="eastAsia"/>
          <w:szCs w:val="28"/>
          <w:lang w:bidi="ar"/>
        </w:rPr>
        <w:t>分，按评分标准得</w:t>
      </w:r>
      <w:r>
        <w:rPr>
          <w:szCs w:val="28"/>
          <w:lang w:bidi="ar"/>
        </w:rPr>
        <w:t>25</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质量指标：</w:t>
      </w:r>
      <w:r>
        <w:rPr>
          <w:rFonts w:hint="eastAsia"/>
          <w:szCs w:val="28"/>
        </w:rPr>
        <w:t>2</w:t>
      </w:r>
      <w:r>
        <w:rPr>
          <w:szCs w:val="28"/>
        </w:rPr>
        <w:t>021</w:t>
      </w:r>
      <w:r>
        <w:rPr>
          <w:rFonts w:hint="eastAsia"/>
          <w:szCs w:val="28"/>
        </w:rPr>
        <w:t>年全年完成农村电影公益放映</w:t>
      </w:r>
      <w:r>
        <w:rPr>
          <w:szCs w:val="28"/>
        </w:rPr>
        <w:t>196692场全部达标，</w:t>
      </w:r>
      <w:r>
        <w:rPr>
          <w:rFonts w:hint="eastAsia"/>
          <w:szCs w:val="28"/>
        </w:rPr>
        <w:t>年度内放映有效场次数量达标率为</w:t>
      </w:r>
      <w:r>
        <w:rPr>
          <w:szCs w:val="28"/>
        </w:rPr>
        <w:t>100%。</w:t>
      </w:r>
      <w:r>
        <w:rPr>
          <w:rFonts w:hint="eastAsia"/>
          <w:szCs w:val="28"/>
        </w:rPr>
        <w:t>质量指标均达到目标值，指标分值合计</w:t>
      </w:r>
      <w:r>
        <w:rPr>
          <w:szCs w:val="28"/>
        </w:rPr>
        <w:t>9</w:t>
      </w:r>
      <w:r>
        <w:rPr>
          <w:rFonts w:hint="eastAsia"/>
          <w:szCs w:val="28"/>
        </w:rPr>
        <w:t>分，按评分标准得</w:t>
      </w:r>
      <w:r>
        <w:rPr>
          <w:szCs w:val="28"/>
        </w:rPr>
        <w:t>9</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截止</w:t>
      </w:r>
      <w:r>
        <w:rPr>
          <w:szCs w:val="28"/>
        </w:rPr>
        <w:t>10月30日，全省农村公益放映电影达标场次196692场，完成了196692场全年公益放映计划的100%</w:t>
      </w:r>
      <w:r>
        <w:rPr>
          <w:rFonts w:hint="eastAsia"/>
          <w:szCs w:val="28"/>
        </w:rPr>
        <w:t>。指标分值</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t>2021年，我省农村电影公益放映补贴项目按标准和要求及时足额发放到位，资金审核、拨付、使用符合项目预算和有关规定，执行资金3304.43万元。具体使用情况如下：一是甘肃飞天农村数字电影院线有限公司和甘肃农村数字电影院线有限责任公司2家放映服务公司运营支出786.77万元；二是放映员保险支出39.34万元；三是放映员劳务支出2202.95万元，由2家放映服务公司代收代付通过银行转到放映员个人账户；四是可持续发展资金629.41万元；五是农村公益电影放映版权购买支出275.37万元。</w:t>
      </w:r>
      <w:r>
        <w:rPr>
          <w:rFonts w:hint="eastAsia"/>
        </w:rPr>
        <w:t>该项目成本控制情况均在预算范围内。指标分值合计</w:t>
      </w:r>
      <w:r>
        <w:t>10</w:t>
      </w:r>
      <w:r>
        <w:rPr>
          <w:rFonts w:hint="eastAsia"/>
        </w:rPr>
        <w:t>分，按评分标准得</w:t>
      </w:r>
      <w:r>
        <w:t>10</w:t>
      </w:r>
      <w:r>
        <w:rPr>
          <w:rFonts w:hint="eastAsia"/>
        </w:rPr>
        <w:t>分，得分率</w:t>
      </w:r>
      <w:r>
        <w:t>100</w:t>
      </w:r>
      <w:r>
        <w:rPr>
          <w:rFonts w:hint="eastAsia"/>
        </w:rPr>
        <w:t>%。</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效益指标包括社会效益指标、生态效益和可持续影响指标</w:t>
      </w:r>
      <w:r>
        <w:rPr>
          <w:szCs w:val="28"/>
          <w:lang w:bidi="ar"/>
        </w:rPr>
        <w:t>3</w:t>
      </w:r>
      <w:r>
        <w:rPr>
          <w:rFonts w:hint="eastAsia"/>
          <w:szCs w:val="28"/>
          <w:lang w:bidi="ar"/>
        </w:rPr>
        <w:t>个二级指标，</w:t>
      </w:r>
      <w:r>
        <w:rPr>
          <w:szCs w:val="28"/>
          <w:lang w:bidi="ar"/>
        </w:rPr>
        <w:t>3</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丰富群众文化生活</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丰富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 xml:space="preserve">10 </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提高观众生态环保意识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 xml:space="preserve">10 </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健全可持续发展机制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 xml:space="preserve">10 </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rPr>
      </w:pPr>
      <w:r>
        <w:rPr>
          <w:rFonts w:hint="eastAsia"/>
          <w:b/>
          <w:bCs/>
          <w:szCs w:val="28"/>
        </w:rPr>
        <w:t>社会效益指标：</w:t>
      </w:r>
      <w:r>
        <w:rPr>
          <w:rFonts w:hint="eastAsia"/>
          <w:szCs w:val="28"/>
        </w:rPr>
        <w:t>通过放映红色经典影片、法制和防疫短片，宣传了党的路线方针政策、加强农村文化建设、普及科学技术知识、提高农民思想道德素质的重要举措，促进了农村经济社会全面发展，并使观众学习了法律和防疫知识，增强了法治观念和疫情防控能力。开展形式多样的主题公益放映活动，产生了良好的社会效益，丰富了群众文化生活。社会效益指标达到目标值，指标分值合计</w:t>
      </w:r>
      <w:r>
        <w:rPr>
          <w:szCs w:val="28"/>
        </w:rPr>
        <w:t>10</w:t>
      </w:r>
      <w:r>
        <w:rPr>
          <w:rFonts w:hint="eastAsia"/>
          <w:szCs w:val="28"/>
        </w:rPr>
        <w:t>分，按评分标准得</w:t>
      </w:r>
      <w:r>
        <w:rPr>
          <w:szCs w:val="28"/>
        </w:rPr>
        <w:t>10</w:t>
      </w:r>
      <w:r>
        <w:rPr>
          <w:rFonts w:hint="eastAsia"/>
          <w:szCs w:val="28"/>
        </w:rPr>
        <w:t>分，得分率100%。</w:t>
      </w:r>
    </w:p>
    <w:p>
      <w:pPr>
        <w:pStyle w:val="11"/>
        <w:ind w:firstLine="562"/>
      </w:pPr>
      <w:r>
        <w:rPr>
          <w:rFonts w:hint="eastAsia"/>
          <w:b/>
          <w:bCs/>
        </w:rPr>
        <w:t>生态效益指标：</w:t>
      </w:r>
      <w:r>
        <w:rPr>
          <w:rFonts w:hint="eastAsia"/>
        </w:rPr>
        <w:t>在影片订购、分区放映、主题活动等方面的进一步优化，让电影公共服务惠及了更多的基层群众，针对网络分流、文化生活更丰富这一情况，指导放映服务公司积极更新涉及群众乡村振兴、生产生活、农科推广、外出务工、增收致富、普法宣传、森林防火、交通安全等内容的片源。在提高观众生态环保意识方面，指标目标完成率为</w:t>
      </w:r>
      <w:r>
        <w:t>100%。</w:t>
      </w:r>
      <w:r>
        <w:rPr>
          <w:rFonts w:hint="eastAsia"/>
        </w:rPr>
        <w:t>生态效益指标达到目标值，指标分值合计</w:t>
      </w:r>
      <w:r>
        <w:t>10</w:t>
      </w:r>
      <w:r>
        <w:rPr>
          <w:rFonts w:hint="eastAsia"/>
        </w:rPr>
        <w:t>分，按评分标准得</w:t>
      </w:r>
      <w:r>
        <w:t>10</w:t>
      </w:r>
      <w:r>
        <w:rPr>
          <w:rFonts w:hint="eastAsia"/>
        </w:rPr>
        <w:t>分，得分率100%。</w:t>
      </w:r>
    </w:p>
    <w:p>
      <w:pPr>
        <w:ind w:firstLine="562"/>
        <w:rPr>
          <w:szCs w:val="28"/>
        </w:rPr>
      </w:pPr>
      <w:r>
        <w:rPr>
          <w:rFonts w:hint="eastAsia"/>
          <w:b/>
          <w:bCs/>
          <w:szCs w:val="28"/>
        </w:rPr>
        <w:t>可持续影响指标：</w:t>
      </w:r>
      <w:r>
        <w:rPr>
          <w:rFonts w:hint="eastAsia"/>
          <w:szCs w:val="28"/>
        </w:rPr>
        <w:t>农村电影放映对拓宽农民信息面、增进文化活动参与热情、提高农民文化素养、科学知识水平具有显著效果，对传播先进文化、减少腐朽文化侵害成效突出，是高度契合农民群众精神文明需求的惠民工程。在项目实施中，不断健全可持续发展机制，着重改善观影的体验感、加大了活动的宣传力度，不断创新放映模式，提高了农村电影放映活动的认知度和影响力，让公益电影放映真正成为农民精神文化生活的“必需品”。项目实现了逐年提升的预期目标，目标完成率为</w:t>
      </w:r>
      <w:r>
        <w:rPr>
          <w:szCs w:val="28"/>
        </w:rPr>
        <w:t>100%。</w:t>
      </w:r>
      <w:r>
        <w:rPr>
          <w:rFonts w:hint="eastAsia"/>
          <w:szCs w:val="28"/>
        </w:rPr>
        <w:t>可持续影响指标均达到了目标值，指标分值</w:t>
      </w:r>
      <w:r>
        <w:rPr>
          <w:szCs w:val="28"/>
        </w:rPr>
        <w:t>10</w:t>
      </w:r>
      <w:r>
        <w:rPr>
          <w:rFonts w:hint="eastAsia"/>
          <w:szCs w:val="28"/>
        </w:rPr>
        <w:t>分，按评分标准得</w:t>
      </w:r>
      <w:r>
        <w:rPr>
          <w:szCs w:val="28"/>
        </w:rPr>
        <w:t>10</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满意度指标包括农村群众观影满意度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农村群众观影满意度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w:t>
            </w:r>
            <w:r>
              <w:rPr>
                <w:rFonts w:cs="仿宋_GB2312"/>
                <w:color w:val="000000"/>
                <w:sz w:val="24"/>
                <w:szCs w:val="24"/>
              </w:rPr>
              <w:t>96</w:t>
            </w:r>
            <w:r>
              <w:rPr>
                <w:rFonts w:hint="eastAsia" w:cs="仿宋_GB2312"/>
                <w:color w:val="000000"/>
                <w:sz w:val="24"/>
                <w:szCs w:val="24"/>
              </w:rPr>
              <w:t>%</w:t>
            </w:r>
          </w:p>
        </w:tc>
        <w:tc>
          <w:tcPr>
            <w:tcW w:w="145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996"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851" w:type="dxa"/>
            <w:vAlign w:val="center"/>
          </w:tcPr>
          <w:p>
            <w:pPr>
              <w:spacing w:line="240" w:lineRule="auto"/>
              <w:ind w:firstLine="0" w:firstLineChars="0"/>
              <w:jc w:val="center"/>
              <w:rPr>
                <w:rFonts w:cs="仿宋_GB2312"/>
                <w:sz w:val="24"/>
                <w:szCs w:val="24"/>
              </w:rPr>
            </w:pPr>
            <w:r>
              <w:rPr>
                <w:rFonts w:hint="eastAsia" w:cs="仿宋_GB2312"/>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w:t>
            </w:r>
            <w:r>
              <w:rPr>
                <w:rFonts w:cs="仿宋_GB2312"/>
                <w:sz w:val="24"/>
                <w:szCs w:val="24"/>
              </w:rPr>
              <w:t>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w:t>
            </w:r>
            <w:r>
              <w:rPr>
                <w:b/>
                <w:bCs/>
                <w:sz w:val="24"/>
                <w:szCs w:val="24"/>
              </w:rPr>
              <w:t>0</w:t>
            </w:r>
            <w:r>
              <w:rPr>
                <w:rFonts w:hint="eastAsia"/>
                <w:b/>
                <w:bCs/>
                <w:sz w:val="24"/>
                <w:szCs w:val="24"/>
              </w:rPr>
              <w:t>%</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由于</w:t>
      </w:r>
      <w:r>
        <w:rPr>
          <w:rFonts w:hint="eastAsia" w:cs="仿宋_GB2312"/>
          <w:color w:val="333333"/>
          <w:szCs w:val="28"/>
        </w:rPr>
        <w:t>映前宣传引导不够有力，观众获取放映信息不及时；影片点映互动不足，观众网络和智能手机使用率不高；观影条件受限，农村电影大多数是站着看、露天看，受天气影响较大，观影人数日益减少，故农村群众观影满意度为9</w:t>
      </w:r>
      <w:r>
        <w:rPr>
          <w:rFonts w:cs="仿宋_GB2312"/>
          <w:color w:val="333333"/>
          <w:szCs w:val="28"/>
        </w:rPr>
        <w:t>0%</w:t>
      </w:r>
      <w:r>
        <w:rPr>
          <w:rFonts w:hint="eastAsia"/>
          <w:szCs w:val="21"/>
        </w:rPr>
        <w:t>，接近目标值。满意度指标分值10分，按评分标准得10</w:t>
      </w:r>
      <w:r>
        <w:rPr>
          <w:rFonts w:hint="eastAsia" w:ascii="宋体" w:hAnsi="宋体"/>
          <w:color w:val="333333"/>
          <w:szCs w:val="28"/>
        </w:rPr>
        <w:t>分，</w:t>
      </w:r>
      <w:r>
        <w:rPr>
          <w:rFonts w:hint="eastAsia"/>
          <w:szCs w:val="21"/>
        </w:rPr>
        <w:t>得分率10</w:t>
      </w:r>
      <w:r>
        <w:rPr>
          <w:szCs w:val="21"/>
        </w:rPr>
        <w:t>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pStyle w:val="11"/>
        <w:ind w:firstLine="562"/>
      </w:pPr>
      <w:r>
        <w:rPr>
          <w:rFonts w:hint="eastAsia"/>
          <w:b/>
          <w:bCs/>
        </w:rPr>
        <w:t>农村群众观影满意度：</w:t>
      </w:r>
      <w:r>
        <w:rPr>
          <w:rFonts w:hint="eastAsia"/>
        </w:rPr>
        <w:t>农村群众实际满意度低于年初绩效目标。主要原因是：一是放映影片片源不够丰富，新片不足且针对性不强；二是映前宣传引导不够有力，观众获取放映信息不及时；三是影片点映互动不足，观众网络和智能手机使用率不高。四是观影条件受限。农村电影大多数是站着看、露天看，受天气影响较大，观影人数日益减少。下一步我部将加强</w:t>
      </w:r>
      <w:r>
        <w:t>学习，</w:t>
      </w:r>
      <w:r>
        <w:rPr>
          <w:rFonts w:hint="eastAsia"/>
        </w:rPr>
        <w:t>提高</w:t>
      </w:r>
      <w:r>
        <w:t>认识，</w:t>
      </w:r>
      <w:r>
        <w:rPr>
          <w:rFonts w:hint="eastAsia"/>
        </w:rPr>
        <w:t>明确</w:t>
      </w:r>
      <w:r>
        <w:t>职责。</w:t>
      </w:r>
      <w:r>
        <w:rPr>
          <w:rFonts w:hint="eastAsia"/>
        </w:rPr>
        <w:t>认真学习《电影</w:t>
      </w:r>
      <w:r>
        <w:t>产业促进法</w:t>
      </w:r>
      <w:r>
        <w:rPr>
          <w:rFonts w:hint="eastAsia"/>
        </w:rPr>
        <w:t>》和</w:t>
      </w:r>
      <w:r>
        <w:t>农村电影政策规定等，</w:t>
      </w:r>
      <w:r>
        <w:rPr>
          <w:rFonts w:hint="eastAsia"/>
        </w:rPr>
        <w:t>提高全省各级</w:t>
      </w:r>
      <w:r>
        <w:t>电影主管部门对农村电影重视</w:t>
      </w:r>
      <w:r>
        <w:rPr>
          <w:rFonts w:hint="eastAsia"/>
        </w:rPr>
        <w:t>程度</w:t>
      </w:r>
      <w:r>
        <w:t>，</w:t>
      </w:r>
      <w:r>
        <w:rPr>
          <w:rFonts w:hint="eastAsia"/>
        </w:rPr>
        <w:t>明确市州</w:t>
      </w:r>
      <w:r>
        <w:t>、县区</w:t>
      </w:r>
      <w:r>
        <w:rPr>
          <w:rFonts w:hint="eastAsia"/>
        </w:rPr>
        <w:t>、</w:t>
      </w:r>
      <w:r>
        <w:t>乡镇</w:t>
      </w:r>
      <w:r>
        <w:rPr>
          <w:rFonts w:hint="eastAsia"/>
        </w:rPr>
        <w:t>及</w:t>
      </w:r>
      <w:r>
        <w:t>村社</w:t>
      </w:r>
      <w:r>
        <w:rPr>
          <w:rFonts w:hint="eastAsia"/>
        </w:rPr>
        <w:t>等各级</w:t>
      </w:r>
      <w:r>
        <w:t>组织</w:t>
      </w:r>
      <w:r>
        <w:rPr>
          <w:rFonts w:hint="eastAsia"/>
        </w:rPr>
        <w:t>在</w:t>
      </w:r>
      <w:r>
        <w:t>文化建设方面</w:t>
      </w:r>
      <w:r>
        <w:rPr>
          <w:rFonts w:hint="eastAsia"/>
        </w:rPr>
        <w:t>的</w:t>
      </w:r>
      <w:r>
        <w:t>职能，</w:t>
      </w:r>
      <w:r>
        <w:rPr>
          <w:rFonts w:hint="eastAsia"/>
        </w:rPr>
        <w:t>特别</w:t>
      </w:r>
      <w:r>
        <w:t>是</w:t>
      </w:r>
      <w:r>
        <w:rPr>
          <w:rFonts w:hint="eastAsia"/>
        </w:rPr>
        <w:t>要提高</w:t>
      </w:r>
      <w:r>
        <w:t>基层组织对农村电影</w:t>
      </w:r>
      <w:r>
        <w:rPr>
          <w:rFonts w:hint="eastAsia"/>
        </w:rPr>
        <w:t>公益</w:t>
      </w:r>
      <w:r>
        <w:t>放映</w:t>
      </w:r>
      <w:r>
        <w:rPr>
          <w:rFonts w:hint="eastAsia"/>
        </w:rPr>
        <w:t>重要</w:t>
      </w:r>
      <w:r>
        <w:t>性</w:t>
      </w:r>
      <w:r>
        <w:rPr>
          <w:rFonts w:hint="eastAsia"/>
        </w:rPr>
        <w:t>的</w:t>
      </w:r>
      <w:r>
        <w:t>认识。</w:t>
      </w:r>
      <w:r>
        <w:rPr>
          <w:rFonts w:hint="eastAsia"/>
        </w:rPr>
        <w:t>加大</w:t>
      </w:r>
      <w:r>
        <w:t>宣传力度</w:t>
      </w:r>
      <w:r>
        <w:rPr>
          <w:rFonts w:hint="eastAsia"/>
        </w:rPr>
        <w:t>，扩大农村</w:t>
      </w:r>
      <w:r>
        <w:t>电影的</w:t>
      </w:r>
      <w:r>
        <w:rPr>
          <w:rFonts w:hint="eastAsia"/>
        </w:rPr>
        <w:t>影响力。</w:t>
      </w:r>
      <w:r>
        <w:t>扩大</w:t>
      </w:r>
      <w:r>
        <w:rPr>
          <w:rFonts w:hint="eastAsia"/>
        </w:rPr>
        <w:t>农村</w:t>
      </w:r>
      <w:r>
        <w:t>电影</w:t>
      </w:r>
      <w:r>
        <w:rPr>
          <w:rFonts w:hint="eastAsia"/>
        </w:rPr>
        <w:t>在</w:t>
      </w:r>
      <w:r>
        <w:t>公共文化服务方面的</w:t>
      </w:r>
      <w:r>
        <w:rPr>
          <w:rFonts w:hint="eastAsia"/>
        </w:rPr>
        <w:t>传播</w:t>
      </w:r>
      <w:r>
        <w:t>力、影响力。营造良好的</w:t>
      </w:r>
      <w:r>
        <w:rPr>
          <w:rFonts w:hint="eastAsia"/>
        </w:rPr>
        <w:t>农村</w:t>
      </w:r>
      <w:r>
        <w:t>电影放映氛围，</w:t>
      </w:r>
      <w:r>
        <w:rPr>
          <w:rFonts w:hint="eastAsia"/>
        </w:rPr>
        <w:t>加强农村文化建设</w:t>
      </w:r>
      <w:r>
        <w:t>。</w:t>
      </w:r>
      <w:r>
        <w:rPr>
          <w:rFonts w:hint="eastAsia"/>
        </w:rPr>
        <w:t>拓展宣传报道</w:t>
      </w:r>
      <w:r>
        <w:t>渠道，充分利用</w:t>
      </w:r>
      <w:r>
        <w:rPr>
          <w:rFonts w:hint="eastAsia"/>
        </w:rPr>
        <w:t>农村</w:t>
      </w:r>
      <w:r>
        <w:t>广播、互联网</w:t>
      </w:r>
      <w:r>
        <w:rPr>
          <w:rFonts w:hint="eastAsia"/>
        </w:rPr>
        <w:t>、电视台、</w:t>
      </w:r>
      <w:r>
        <w:t>手机</w:t>
      </w:r>
      <w:r>
        <w:rPr>
          <w:rFonts w:hint="eastAsia"/>
        </w:rPr>
        <w:t>公众</w:t>
      </w:r>
      <w:r>
        <w:t>号</w:t>
      </w:r>
      <w:r>
        <w:rPr>
          <w:rFonts w:hint="eastAsia"/>
        </w:rPr>
        <w:t>微信和QQ等</w:t>
      </w:r>
      <w:r>
        <w:t>方式</w:t>
      </w:r>
      <w:r>
        <w:rPr>
          <w:rFonts w:hint="eastAsia"/>
        </w:rPr>
        <w:t>，引导广大农村</w:t>
      </w:r>
      <w:r>
        <w:t>群众</w:t>
      </w:r>
      <w:r>
        <w:rPr>
          <w:rFonts w:hint="eastAsia"/>
        </w:rPr>
        <w:t>自觉</w:t>
      </w:r>
      <w:r>
        <w:t>参与</w:t>
      </w:r>
      <w:r>
        <w:rPr>
          <w:rFonts w:hint="eastAsia"/>
        </w:rPr>
        <w:t>和</w:t>
      </w:r>
      <w:r>
        <w:t>关注</w:t>
      </w:r>
      <w:r>
        <w:rPr>
          <w:rFonts w:hint="eastAsia"/>
        </w:rPr>
        <w:t>农村</w:t>
      </w:r>
      <w:r>
        <w:t>电影</w:t>
      </w:r>
      <w:r>
        <w:rPr>
          <w:rFonts w:hint="eastAsia"/>
        </w:rPr>
        <w:t>公益</w:t>
      </w:r>
      <w:r>
        <w:t>放映</w:t>
      </w:r>
      <w:r>
        <w:rPr>
          <w:rFonts w:hint="eastAsia"/>
        </w:rPr>
        <w:t>活动。改进</w:t>
      </w:r>
      <w:r>
        <w:t>放映方式</w:t>
      </w:r>
      <w:r>
        <w:rPr>
          <w:rFonts w:hint="eastAsia"/>
        </w:rPr>
        <w:t>，</w:t>
      </w:r>
      <w:r>
        <w:t>提高观众满意度。</w:t>
      </w:r>
      <w:r>
        <w:rPr>
          <w:rFonts w:hint="eastAsia"/>
        </w:rPr>
        <w:t>一是完善和优化自下而上“菜单式”点映服务，引导观众通过手机</w:t>
      </w:r>
      <w:r>
        <w:t>、</w:t>
      </w:r>
      <w:r>
        <w:rPr>
          <w:rFonts w:hint="eastAsia"/>
        </w:rPr>
        <w:t>互联网等传播获取</w:t>
      </w:r>
      <w:r>
        <w:t>信息</w:t>
      </w:r>
      <w:r>
        <w:rPr>
          <w:rFonts w:hint="eastAsia"/>
        </w:rPr>
        <w:t>，将播放影片提前</w:t>
      </w:r>
      <w:r>
        <w:t>预告</w:t>
      </w:r>
      <w:r>
        <w:rPr>
          <w:rFonts w:hint="eastAsia"/>
        </w:rPr>
        <w:t>和</w:t>
      </w:r>
      <w:r>
        <w:t>推荐</w:t>
      </w:r>
      <w:r>
        <w:rPr>
          <w:rFonts w:hint="eastAsia"/>
        </w:rPr>
        <w:t>给广大观影群众。二是拓展</w:t>
      </w:r>
      <w:r>
        <w:t>放映场所，将农村电影公益放映与新时代文明中心融合发展，实现基层设施资源的共建共享。</w:t>
      </w:r>
      <w:r>
        <w:rPr>
          <w:rFonts w:hint="eastAsia"/>
        </w:rPr>
        <w:t>既可以为文明实践中心丰富内容载体，</w:t>
      </w:r>
      <w:r>
        <w:t>也可以切实改善观影条件，实现农村观影“由站着看到坐着看、由室外看到室内看”的转变，全面提升农村电影公益放映</w:t>
      </w:r>
      <w:r>
        <w:rPr>
          <w:rFonts w:hint="eastAsia"/>
        </w:rPr>
        <w:t>和</w:t>
      </w:r>
      <w:r>
        <w:t>观影效果</w:t>
      </w:r>
      <w:r>
        <w:rPr>
          <w:rFonts w:hint="eastAsia"/>
        </w:rPr>
        <w:t>，进一步</w:t>
      </w:r>
      <w:r>
        <w:t>提高</w:t>
      </w:r>
      <w:r>
        <w:rPr>
          <w:rFonts w:hint="eastAsia"/>
        </w:rPr>
        <w:t>观</w:t>
      </w:r>
      <w:r>
        <w:t>众的满意度。</w:t>
      </w:r>
    </w:p>
    <w:p>
      <w:pPr>
        <w:pStyle w:val="3"/>
        <w:ind w:firstLine="643"/>
        <w:rPr>
          <w:rFonts w:ascii="仿宋_GB2312" w:eastAsia="仿宋_GB2312"/>
        </w:rPr>
      </w:pPr>
      <w:bookmarkStart w:id="84" w:name="_Toc5396"/>
      <w:r>
        <w:rPr>
          <w:rFonts w:hint="eastAsia"/>
        </w:rPr>
        <w:t>（十三）项目1</w:t>
      </w:r>
      <w:r>
        <w:t>3</w:t>
      </w:r>
      <w:r>
        <w:rPr>
          <w:rFonts w:hint="eastAsia"/>
        </w:rPr>
        <w:t>－电影事业发展专项资金</w:t>
      </w:r>
      <w:bookmarkEnd w:id="84"/>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电影事业发展专项资金项目年初预算数</w:t>
      </w:r>
      <w:r>
        <w:rPr>
          <w:rFonts w:hint="eastAsia"/>
          <w:szCs w:val="28"/>
          <w:lang w:val="en-US" w:eastAsia="zh-CN"/>
        </w:rPr>
        <w:t>1350</w:t>
      </w:r>
      <w:r>
        <w:rPr>
          <w:rFonts w:hint="eastAsia"/>
          <w:szCs w:val="28"/>
        </w:rPr>
        <w:t>万元，</w:t>
      </w:r>
      <w:r>
        <w:rPr>
          <w:rFonts w:hint="eastAsia"/>
          <w:szCs w:val="28"/>
          <w:lang w:eastAsia="zh-CN"/>
        </w:rPr>
        <w:t>上年结转资金</w:t>
      </w:r>
      <w:r>
        <w:rPr>
          <w:rFonts w:hint="eastAsia"/>
          <w:szCs w:val="28"/>
          <w:lang w:val="en-US" w:eastAsia="zh-CN"/>
        </w:rPr>
        <w:t>15.42万元，</w:t>
      </w:r>
      <w:r>
        <w:rPr>
          <w:rFonts w:hint="eastAsia"/>
          <w:szCs w:val="28"/>
        </w:rPr>
        <w:t>全年预算数</w:t>
      </w:r>
      <w:r>
        <w:rPr>
          <w:rFonts w:hint="eastAsia"/>
          <w:szCs w:val="28"/>
          <w:lang w:val="en-US" w:eastAsia="zh-CN"/>
        </w:rPr>
        <w:t>1365.42</w:t>
      </w:r>
      <w:r>
        <w:rPr>
          <w:rFonts w:hint="eastAsia"/>
          <w:szCs w:val="28"/>
        </w:rPr>
        <w:t>万元，全年支出数</w:t>
      </w:r>
      <w:r>
        <w:rPr>
          <w:rFonts w:hint="eastAsia"/>
          <w:szCs w:val="28"/>
          <w:lang w:val="en-US" w:eastAsia="zh-CN"/>
        </w:rPr>
        <w:t>802.85</w:t>
      </w:r>
      <w:r>
        <w:rPr>
          <w:rFonts w:hint="eastAsia"/>
          <w:szCs w:val="28"/>
        </w:rPr>
        <w:t>万元，预算执行率</w:t>
      </w:r>
      <w:r>
        <w:rPr>
          <w:rFonts w:hint="eastAsia"/>
          <w:szCs w:val="28"/>
          <w:lang w:val="en-US" w:eastAsia="zh-CN"/>
        </w:rPr>
        <w:t>58.80</w:t>
      </w:r>
      <w:r>
        <w:rPr>
          <w:szCs w:val="28"/>
        </w:rPr>
        <w:t>%</w:t>
      </w:r>
      <w:r>
        <w:rPr>
          <w:rFonts w:hint="eastAsia"/>
          <w:szCs w:val="28"/>
        </w:rPr>
        <w:t>，指标分值10分，按评分标准得</w:t>
      </w:r>
      <w:r>
        <w:rPr>
          <w:rFonts w:hint="eastAsia"/>
          <w:szCs w:val="28"/>
          <w:lang w:val="en-US" w:eastAsia="zh-CN"/>
        </w:rPr>
        <w:t>5.88</w:t>
      </w:r>
      <w:r>
        <w:rPr>
          <w:rFonts w:hint="eastAsia"/>
          <w:szCs w:val="28"/>
        </w:rPr>
        <w:t>分，得分率</w:t>
      </w:r>
      <w:r>
        <w:rPr>
          <w:rFonts w:hint="eastAsia"/>
          <w:szCs w:val="28"/>
          <w:lang w:val="en-US" w:eastAsia="zh-CN"/>
        </w:rPr>
        <w:t>58.8</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86.57</w:t>
      </w:r>
      <w:r>
        <w:rPr>
          <w:rFonts w:hint="eastAsia"/>
          <w:szCs w:val="28"/>
        </w:rPr>
        <w:t>分，自评结果为“</w:t>
      </w:r>
      <w:r>
        <w:rPr>
          <w:rFonts w:hint="eastAsia"/>
          <w:szCs w:val="28"/>
          <w:lang w:eastAsia="zh-CN"/>
        </w:rPr>
        <w:t>良</w:t>
      </w:r>
      <w:r>
        <w:rPr>
          <w:rFonts w:hint="eastAsia"/>
          <w:szCs w:val="28"/>
        </w:rPr>
        <w:t>”。主要任务完成情况分析如下：</w:t>
      </w:r>
    </w:p>
    <w:p>
      <w:pPr>
        <w:ind w:firstLine="562"/>
        <w:rPr>
          <w:szCs w:val="28"/>
        </w:rPr>
      </w:pPr>
      <w:r>
        <w:rPr>
          <w:rFonts w:hint="eastAsia"/>
          <w:b/>
          <w:bCs/>
          <w:szCs w:val="28"/>
        </w:rPr>
        <w:t>预期目标：</w:t>
      </w:r>
      <w:r>
        <w:rPr>
          <w:szCs w:val="28"/>
        </w:rPr>
        <w:t>享受新建影院资助家数4家，享受资助金额120万元；享受国产片放映成绩突出奖励影院55家，享受奖励金额300万元；享受新设备购置影院15家，享受资助金额200万元；享受“人民院线”“艺术放映联盟”资助影院45家，享受资助金额200万元；享受少数民族县区数字影院的运营和维护补助影院23家，享受资助金额50万元。按照《国家电影事业发展专项资金征收使用管理办法》（财税〔2015〕91号）、财政部和中央宣传部联合印发的《中央级国家电影事业发展专项资金预算管理办法》（财教〔2019〕260</w:t>
      </w:r>
      <w:r>
        <w:rPr>
          <w:rFonts w:hint="eastAsia"/>
          <w:szCs w:val="28"/>
        </w:rPr>
        <w:t>号）和《甘肃省电影事业发展专项资金征收使用管理办法》（甘财科〔</w:t>
      </w:r>
      <w:r>
        <w:rPr>
          <w:szCs w:val="28"/>
        </w:rPr>
        <w:t>2016〕153号）等文件，严格审核申报标准，做好绩效管理，兑现资金。</w:t>
      </w:r>
    </w:p>
    <w:p>
      <w:pPr>
        <w:ind w:firstLine="562"/>
        <w:rPr>
          <w:szCs w:val="28"/>
        </w:rPr>
      </w:pPr>
      <w:r>
        <w:rPr>
          <w:rFonts w:hint="eastAsia"/>
          <w:b/>
          <w:bCs/>
          <w:szCs w:val="28"/>
        </w:rPr>
        <w:t>实际完成情况：</w:t>
      </w:r>
      <w:r>
        <w:rPr>
          <w:rFonts w:hint="eastAsia"/>
          <w:szCs w:val="28"/>
        </w:rPr>
        <w:t>中央级专资主要资助奖励项目为：</w:t>
      </w:r>
      <w:r>
        <w:rPr>
          <w:szCs w:val="28"/>
        </w:rPr>
        <w:t>奖励放映国产影片成绩突出的影院177家，合计奖励194万元；资助新建乡镇、县城影院9家，合计奖励270万元；资助购置先进设备的影院26家，合计奖励46万元；资助“人民院线”影院31家影院，合计资助30万元；资助“艺术放映联盟”的影院17家，合计资助30万元；资助民族语译制工作280万元。</w:t>
      </w:r>
    </w:p>
    <w:p>
      <w:pPr>
        <w:ind w:firstLine="560"/>
        <w:rPr>
          <w:szCs w:val="28"/>
        </w:rPr>
      </w:pPr>
      <w:r>
        <w:rPr>
          <w:rFonts w:hint="eastAsia"/>
          <w:szCs w:val="28"/>
        </w:rPr>
        <w:t>省级专资主要资助奖励项目为：</w:t>
      </w:r>
      <w:r>
        <w:rPr>
          <w:szCs w:val="28"/>
        </w:rPr>
        <w:t>资助6家出品发行单位国产影片的发行放映，合计奖励200万元；奖励国产影片放映成绩突出影院172家，合计奖励338.5万元。</w:t>
      </w:r>
    </w:p>
    <w:p>
      <w:pPr>
        <w:ind w:firstLine="560"/>
        <w:rPr>
          <w:rFonts w:hAnsi="宋体"/>
          <w:szCs w:val="28"/>
        </w:rPr>
      </w:pPr>
      <w:r>
        <w:rPr>
          <w:rFonts w:hint="eastAsia"/>
          <w:szCs w:val="28"/>
        </w:rPr>
        <w:t>严格按照国家和省上各项规定进行组织申报及资金分配，涉及影院的各项数据均来源于国家电影专资办“全国电影票务综合信息系统”，所有资助奖励项目均符合规定，没有超出范围资助奖励的情况。</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产出指标包括数量指标、质量指标、时效指标和成本指标4个二级指标，12个三级指标，指标总分值50分，自评得分</w:t>
      </w:r>
      <w:r>
        <w:rPr>
          <w:szCs w:val="28"/>
          <w:lang w:bidi="ar"/>
        </w:rPr>
        <w:t>42.69</w:t>
      </w:r>
      <w:r>
        <w:rPr>
          <w:rFonts w:hint="eastAsia"/>
          <w:szCs w:val="28"/>
          <w:lang w:bidi="ar"/>
        </w:rPr>
        <w:t>分，得分率</w:t>
      </w:r>
      <w:r>
        <w:rPr>
          <w:szCs w:val="28"/>
          <w:lang w:bidi="ar"/>
        </w:rPr>
        <w:t>85.38</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1448"/>
        <w:gridCol w:w="1463"/>
        <w:gridCol w:w="871"/>
        <w:gridCol w:w="8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“人民院线”“艺术放映联盟”资助影院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333333"/>
                <w:sz w:val="24"/>
                <w:szCs w:val="24"/>
              </w:rPr>
            </w:pPr>
            <w:r>
              <w:rPr>
                <w:rFonts w:hint="eastAsia"/>
                <w:color w:val="000000"/>
                <w:sz w:val="24"/>
                <w:szCs w:val="24"/>
              </w:rPr>
              <w:t>=45家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48家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放映场次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≥15万场</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144万场次</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观影人次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≥300万人</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1311万人</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0.34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国产片放映成绩突出奖励影院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=55家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177家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0.96</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少数民族县区数字影院的运营和维护补助影院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=23家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新建影院资助家数</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2.97</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新设备购置影院</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26家</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4.42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影院舒适度</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85%</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专资上缴率</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放映及时性</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资助及时性</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合理控制成本</w:t>
            </w: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合理</w:t>
            </w:r>
          </w:p>
        </w:tc>
        <w:tc>
          <w:tcPr>
            <w:tcW w:w="14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6"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42.69</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85.38</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2021年我部奖励放映国产影片成绩突出的影院</w:t>
      </w:r>
      <w:r>
        <w:rPr>
          <w:szCs w:val="28"/>
          <w:lang w:bidi="ar"/>
        </w:rPr>
        <w:t>177家，</w:t>
      </w:r>
      <w:r>
        <w:rPr>
          <w:rFonts w:hint="eastAsia"/>
          <w:szCs w:val="28"/>
          <w:lang w:bidi="ar"/>
        </w:rPr>
        <w:t>资助新建乡镇、县城影院</w:t>
      </w:r>
      <w:r>
        <w:rPr>
          <w:szCs w:val="28"/>
          <w:lang w:bidi="ar"/>
        </w:rPr>
        <w:t>9家，</w:t>
      </w:r>
      <w:r>
        <w:rPr>
          <w:rFonts w:hint="eastAsia"/>
          <w:szCs w:val="28"/>
          <w:lang w:bidi="ar"/>
        </w:rPr>
        <w:t>资助购置先进设备的影院</w:t>
      </w:r>
      <w:r>
        <w:rPr>
          <w:szCs w:val="28"/>
          <w:lang w:bidi="ar"/>
        </w:rPr>
        <w:t>26家，</w:t>
      </w:r>
      <w:r>
        <w:rPr>
          <w:rFonts w:hint="eastAsia"/>
          <w:szCs w:val="28"/>
          <w:lang w:bidi="ar"/>
        </w:rPr>
        <w:t>资助“人民院线”影院、“艺术放映联盟”的影院4</w:t>
      </w:r>
      <w:r>
        <w:rPr>
          <w:szCs w:val="28"/>
          <w:lang w:bidi="ar"/>
        </w:rPr>
        <w:t>8家，</w:t>
      </w:r>
      <w:r>
        <w:rPr>
          <w:rFonts w:hint="eastAsia"/>
          <w:szCs w:val="28"/>
          <w:lang w:bidi="ar"/>
        </w:rPr>
        <w:t>少数民族县区数字影院的运营和维护补助影院0家，全年全省累计放映1</w:t>
      </w:r>
      <w:r>
        <w:rPr>
          <w:szCs w:val="28"/>
          <w:lang w:bidi="ar"/>
        </w:rPr>
        <w:t>44</w:t>
      </w:r>
      <w:r>
        <w:rPr>
          <w:rFonts w:hint="eastAsia"/>
          <w:szCs w:val="28"/>
          <w:lang w:bidi="ar"/>
        </w:rPr>
        <w:t>万场次，观影人数达到1</w:t>
      </w:r>
      <w:r>
        <w:rPr>
          <w:szCs w:val="28"/>
          <w:lang w:bidi="ar"/>
        </w:rPr>
        <w:t>311</w:t>
      </w:r>
      <w:r>
        <w:rPr>
          <w:rFonts w:hint="eastAsia"/>
          <w:szCs w:val="28"/>
          <w:lang w:bidi="ar"/>
        </w:rPr>
        <w:t>万人次。数量指标中少数民族县区数字影院的运营和维护补助影院没有达到目标值，因今年资助少数民族地区数字影院项目没有分配资金，未能实施，根据明年结转情况再行分配。其余指标均达到目标值，指标分值合计</w:t>
      </w:r>
      <w:r>
        <w:rPr>
          <w:szCs w:val="28"/>
          <w:lang w:bidi="ar"/>
        </w:rPr>
        <w:t>20</w:t>
      </w:r>
      <w:r>
        <w:rPr>
          <w:rFonts w:hint="eastAsia"/>
          <w:szCs w:val="28"/>
          <w:lang w:bidi="ar"/>
        </w:rPr>
        <w:t>分，按评分标准得</w:t>
      </w:r>
      <w:r>
        <w:rPr>
          <w:szCs w:val="28"/>
          <w:lang w:bidi="ar"/>
        </w:rPr>
        <w:t>12.69</w:t>
      </w:r>
      <w:r>
        <w:rPr>
          <w:rFonts w:hint="eastAsia"/>
          <w:szCs w:val="28"/>
          <w:lang w:bidi="ar"/>
        </w:rPr>
        <w:t>分，得分率</w:t>
      </w:r>
      <w:r>
        <w:rPr>
          <w:szCs w:val="28"/>
          <w:lang w:bidi="ar"/>
        </w:rPr>
        <w:t>63.45</w:t>
      </w:r>
      <w:r>
        <w:rPr>
          <w:rFonts w:hint="eastAsia"/>
          <w:szCs w:val="28"/>
          <w:lang w:bidi="ar"/>
        </w:rPr>
        <w:t>%。</w:t>
      </w:r>
    </w:p>
    <w:p>
      <w:pPr>
        <w:ind w:firstLine="562"/>
        <w:rPr>
          <w:szCs w:val="28"/>
        </w:rPr>
      </w:pPr>
      <w:r>
        <w:rPr>
          <w:rFonts w:hint="eastAsia"/>
          <w:b/>
          <w:bCs/>
          <w:szCs w:val="28"/>
        </w:rPr>
        <w:t>质量指标：</w:t>
      </w:r>
      <w:r>
        <w:rPr>
          <w:rFonts w:hint="eastAsia"/>
          <w:szCs w:val="28"/>
        </w:rPr>
        <w:t>实施电影事业发展专项资金项目，是推动我省电影产业全面发展的重要措施。甘肃省积极响应国家号召，结合省内具体情况，制定了《甘肃省电影事业发展专项资金征收使用管理办法》（甘财科〔2016〕153号），为我省管理使用电影事业发展专项资金提供了政策依据，专资上缴率为1</w:t>
      </w:r>
      <w:r>
        <w:rPr>
          <w:szCs w:val="28"/>
        </w:rPr>
        <w:t>00</w:t>
      </w:r>
      <w:r>
        <w:rPr>
          <w:rFonts w:hint="eastAsia"/>
          <w:szCs w:val="28"/>
        </w:rPr>
        <w:t>%；通过对影院的补助使得影院的放映环境得到优化，观影人员舒适度达到8</w:t>
      </w:r>
      <w:r>
        <w:rPr>
          <w:szCs w:val="28"/>
        </w:rPr>
        <w:t>5</w:t>
      </w:r>
      <w:r>
        <w:rPr>
          <w:rFonts w:hint="eastAsia"/>
          <w:szCs w:val="28"/>
        </w:rPr>
        <w:t>%。质量指标均达到目标值，指标分值合计</w:t>
      </w:r>
      <w:r>
        <w:rPr>
          <w:szCs w:val="28"/>
        </w:rPr>
        <w:t>20</w:t>
      </w:r>
      <w:r>
        <w:rPr>
          <w:rFonts w:hint="eastAsia"/>
          <w:szCs w:val="28"/>
        </w:rPr>
        <w:t>分，按评分标准得</w:t>
      </w:r>
      <w:r>
        <w:rPr>
          <w:szCs w:val="28"/>
        </w:rPr>
        <w:t>20</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2021年我部在国家电影事业发展专项在实施过程中，能够积极履行职能，较好发挥专项资金的杠杆撬动作用，及时资助相关影院，受资助影院及时放映各类影片。时效指标均达到目标值，指标分值合计</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成本指标：</w:t>
      </w:r>
      <w:r>
        <w:rPr>
          <w:rFonts w:hint="eastAsia"/>
          <w:szCs w:val="28"/>
        </w:rPr>
        <w:t>2021年电影事业发展专项资金项目全年预算资金为</w:t>
      </w:r>
      <w:r>
        <w:rPr>
          <w:rFonts w:hint="eastAsia"/>
          <w:szCs w:val="28"/>
          <w:lang w:val="en-US" w:eastAsia="zh-CN"/>
        </w:rPr>
        <w:t>1365.42</w:t>
      </w:r>
      <w:r>
        <w:rPr>
          <w:rFonts w:hint="eastAsia"/>
          <w:szCs w:val="28"/>
        </w:rPr>
        <w:t>万元，实际支出</w:t>
      </w:r>
      <w:r>
        <w:rPr>
          <w:rFonts w:hint="eastAsia"/>
          <w:szCs w:val="28"/>
          <w:lang w:val="en-US" w:eastAsia="zh-CN"/>
        </w:rPr>
        <w:t>802.85</w:t>
      </w:r>
      <w:r>
        <w:rPr>
          <w:rFonts w:hint="eastAsia"/>
          <w:szCs w:val="28"/>
        </w:rPr>
        <w:t>万元，无超预算开支，成本节控制在了预算范围内。指标分值4分，按评分标准得4分，得分率100%。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效益指标包括经济效益指标、社会效益指标、生态效益指标、可持续影响指标4个二级指标，</w:t>
      </w:r>
      <w:r>
        <w:rPr>
          <w:szCs w:val="28"/>
          <w:lang w:bidi="ar"/>
        </w:rPr>
        <w:t>5</w:t>
      </w:r>
      <w:r>
        <w:rPr>
          <w:rFonts w:hint="eastAsia"/>
          <w:szCs w:val="28"/>
          <w:lang w:bidi="ar"/>
        </w:rPr>
        <w:t>个三级指标，指标总分值30分，自评得分</w:t>
      </w:r>
      <w:r>
        <w:rPr>
          <w:szCs w:val="28"/>
          <w:lang w:bidi="ar"/>
        </w:rPr>
        <w:t>2</w:t>
      </w:r>
      <w:r>
        <w:rPr>
          <w:rFonts w:hint="eastAsia"/>
          <w:szCs w:val="28"/>
          <w:lang w:bidi="ar"/>
        </w:rPr>
        <w:t>8分，得分率93.33%。指标分析如下：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国产片票房</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≥3300万元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43000万元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票房</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≥9000万元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49200万元</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丰富人民群众文化生活</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效果良好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提高观众环保意识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健全长效管理机制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2</w:t>
            </w:r>
            <w:r>
              <w:rPr>
                <w:rFonts w:hint="eastAsia" w:hAnsi="等线"/>
                <w:b/>
                <w:bCs/>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93.33%</w:t>
            </w:r>
          </w:p>
        </w:tc>
      </w:tr>
    </w:tbl>
    <w:p>
      <w:pPr>
        <w:ind w:firstLine="562"/>
        <w:rPr>
          <w:szCs w:val="28"/>
          <w:lang w:bidi="ar"/>
        </w:rPr>
      </w:pPr>
      <w:r>
        <w:rPr>
          <w:rFonts w:hint="eastAsia"/>
          <w:b/>
          <w:bCs/>
          <w:szCs w:val="28"/>
          <w:lang w:bidi="ar"/>
        </w:rPr>
        <w:t>经济效益指标：</w:t>
      </w:r>
      <w:r>
        <w:rPr>
          <w:rFonts w:hint="eastAsia"/>
          <w:szCs w:val="28"/>
          <w:lang w:bidi="ar"/>
        </w:rPr>
        <w:t>2021年我部实施电影事业发展专项资金项目，是推动我省电影产业全面发展的重要措施，在推动该项目的同时实现票房收入4</w:t>
      </w:r>
      <w:r>
        <w:rPr>
          <w:szCs w:val="28"/>
          <w:lang w:bidi="ar"/>
        </w:rPr>
        <w:t>.92</w:t>
      </w:r>
      <w:r>
        <w:rPr>
          <w:rFonts w:hint="eastAsia"/>
          <w:szCs w:val="28"/>
          <w:lang w:bidi="ar"/>
        </w:rPr>
        <w:t>亿元，实现国产片票房收入4</w:t>
      </w:r>
      <w:r>
        <w:rPr>
          <w:szCs w:val="28"/>
          <w:lang w:bidi="ar"/>
        </w:rPr>
        <w:t>.3</w:t>
      </w:r>
      <w:r>
        <w:rPr>
          <w:rFonts w:hint="eastAsia"/>
          <w:szCs w:val="28"/>
          <w:lang w:bidi="ar"/>
        </w:rPr>
        <w:t>亿元，由于实际完成值超出了年度目标值1</w:t>
      </w:r>
      <w:r>
        <w:rPr>
          <w:szCs w:val="28"/>
          <w:lang w:bidi="ar"/>
        </w:rPr>
        <w:t>30</w:t>
      </w:r>
      <w:r>
        <w:rPr>
          <w:rFonts w:hint="eastAsia"/>
          <w:szCs w:val="28"/>
          <w:lang w:bidi="ar"/>
        </w:rPr>
        <w:t>%，导致扣分。指标分值2分，按评分标准得0分，得分率0%。</w:t>
      </w:r>
    </w:p>
    <w:p>
      <w:pPr>
        <w:ind w:firstLine="562"/>
        <w:rPr>
          <w:szCs w:val="28"/>
        </w:rPr>
      </w:pPr>
      <w:r>
        <w:rPr>
          <w:rFonts w:hint="eastAsia"/>
          <w:b/>
          <w:bCs/>
          <w:szCs w:val="28"/>
        </w:rPr>
        <w:t>社会效益指标：</w:t>
      </w:r>
      <w:r>
        <w:rPr>
          <w:szCs w:val="28"/>
        </w:rPr>
        <w:t>2021年度国家电影事业发展专项在实施过程中，</w:t>
      </w:r>
      <w:r>
        <w:rPr>
          <w:rFonts w:hint="eastAsia"/>
          <w:szCs w:val="28"/>
        </w:rPr>
        <w:t>通过电影这个群众喜闻乐见的形式，增强了人民群众对社会主义核心价值观的认同感，丰富了广大人民群众的精神文化生活。社会效益指标达到目标值，指标分值合计</w:t>
      </w:r>
      <w:r>
        <w:rPr>
          <w:szCs w:val="28"/>
        </w:rPr>
        <w:t>9</w:t>
      </w:r>
      <w:r>
        <w:rPr>
          <w:rFonts w:hint="eastAsia"/>
          <w:szCs w:val="28"/>
        </w:rPr>
        <w:t>分，按评分标准得</w:t>
      </w:r>
      <w:r>
        <w:rPr>
          <w:szCs w:val="28"/>
        </w:rPr>
        <w:t>9</w:t>
      </w:r>
      <w:r>
        <w:rPr>
          <w:rFonts w:hint="eastAsia"/>
          <w:szCs w:val="28"/>
        </w:rPr>
        <w:t>分，得分率100%。</w:t>
      </w:r>
    </w:p>
    <w:p>
      <w:pPr>
        <w:ind w:firstLine="562"/>
        <w:rPr>
          <w:szCs w:val="28"/>
        </w:rPr>
      </w:pPr>
      <w:r>
        <w:rPr>
          <w:rFonts w:hint="eastAsia"/>
          <w:b/>
          <w:bCs/>
          <w:szCs w:val="28"/>
        </w:rPr>
        <w:t>生态效益指标：</w:t>
      </w:r>
      <w:r>
        <w:rPr>
          <w:rFonts w:hint="eastAsia"/>
          <w:szCs w:val="28"/>
        </w:rPr>
        <w:t>通过电影宣传及各大影院统计比较发现塑料制品垃圾使用率低于以往水平，不断提高了观众环保意识。生态效益指标均达到目标值，指标分值合计</w:t>
      </w:r>
      <w:r>
        <w:rPr>
          <w:szCs w:val="28"/>
        </w:rPr>
        <w:t>9</w:t>
      </w:r>
      <w:r>
        <w:rPr>
          <w:rFonts w:hint="eastAsia"/>
          <w:szCs w:val="28"/>
        </w:rPr>
        <w:t>分，按评分标准得</w:t>
      </w:r>
      <w:r>
        <w:rPr>
          <w:szCs w:val="28"/>
        </w:rPr>
        <w:t>9</w:t>
      </w:r>
      <w:r>
        <w:rPr>
          <w:rFonts w:hint="eastAsia"/>
          <w:szCs w:val="28"/>
        </w:rPr>
        <w:t>分，得分率100%。</w:t>
      </w:r>
    </w:p>
    <w:p>
      <w:pPr>
        <w:ind w:firstLine="562"/>
        <w:rPr>
          <w:szCs w:val="28"/>
        </w:rPr>
      </w:pPr>
      <w:r>
        <w:rPr>
          <w:rFonts w:hint="eastAsia"/>
          <w:b/>
          <w:bCs/>
          <w:szCs w:val="28"/>
        </w:rPr>
        <w:t>可持续影响指标：</w:t>
      </w:r>
      <w:r>
        <w:rPr>
          <w:rFonts w:hint="eastAsia"/>
          <w:szCs w:val="28"/>
        </w:rPr>
        <w:t>我部关于</w:t>
      </w:r>
      <w:r>
        <w:rPr>
          <w:szCs w:val="28"/>
        </w:rPr>
        <w:t>国家电影事业发展专项</w:t>
      </w:r>
      <w:r>
        <w:rPr>
          <w:rFonts w:hint="eastAsia"/>
          <w:szCs w:val="28"/>
        </w:rPr>
        <w:t>资金管理机制健全，电影专项资金是按照国务院颁布的《电影管理条例》设立，由财政部和中央宣传部联合管理，完善资金管理体系，制定资金征收使用管理办法，管理机制健全并具有长效性。可持续影响指标达到了目标值，指标分值</w:t>
      </w:r>
      <w:r>
        <w:rPr>
          <w:szCs w:val="28"/>
        </w:rPr>
        <w:t>10</w:t>
      </w:r>
      <w:r>
        <w:rPr>
          <w:rFonts w:hint="eastAsia"/>
          <w:szCs w:val="28"/>
        </w:rPr>
        <w:t>分，按评分标准得</w:t>
      </w:r>
      <w:r>
        <w:rPr>
          <w:szCs w:val="28"/>
        </w:rPr>
        <w:t>10</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满意度指标包括观影人员满意度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3" w:type="dxa"/>
            <w:vAlign w:val="center"/>
          </w:tcPr>
          <w:p>
            <w:pPr>
              <w:spacing w:line="240" w:lineRule="auto"/>
              <w:ind w:firstLine="0" w:firstLineChars="0"/>
              <w:rPr>
                <w:rFonts w:ascii="宋体" w:hAnsi="宋体"/>
                <w:color w:val="333333"/>
                <w:sz w:val="24"/>
                <w:szCs w:val="24"/>
              </w:rPr>
            </w:pPr>
            <w:r>
              <w:rPr>
                <w:rFonts w:hint="eastAsia" w:ascii="宋体" w:hAnsi="宋体"/>
                <w:color w:val="333333"/>
                <w:sz w:val="24"/>
                <w:szCs w:val="24"/>
              </w:rPr>
              <w:t>观影人员满意度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w:t>
            </w:r>
            <w:r>
              <w:rPr>
                <w:rFonts w:cs="仿宋_GB2312"/>
                <w:color w:val="000000"/>
                <w:sz w:val="24"/>
                <w:szCs w:val="24"/>
              </w:rPr>
              <w:t>80</w:t>
            </w:r>
            <w:r>
              <w:rPr>
                <w:rFonts w:hint="eastAsia" w:cs="仿宋_GB2312"/>
                <w:color w:val="000000"/>
                <w:sz w:val="24"/>
                <w:szCs w:val="24"/>
              </w:rPr>
              <w:t>%</w:t>
            </w:r>
          </w:p>
        </w:tc>
        <w:tc>
          <w:tcPr>
            <w:tcW w:w="1455" w:type="dxa"/>
            <w:vAlign w:val="center"/>
          </w:tcPr>
          <w:p>
            <w:pPr>
              <w:spacing w:line="240" w:lineRule="auto"/>
              <w:ind w:firstLine="0" w:firstLineChars="0"/>
              <w:jc w:val="center"/>
              <w:rPr>
                <w:rFonts w:cs="仿宋_GB2312"/>
                <w:color w:val="000000"/>
                <w:sz w:val="24"/>
                <w:szCs w:val="24"/>
              </w:rPr>
            </w:pPr>
            <w:r>
              <w:rPr>
                <w:rFonts w:cs="仿宋_GB2312"/>
                <w:color w:val="000000"/>
                <w:sz w:val="24"/>
                <w:szCs w:val="24"/>
              </w:rPr>
              <w:t>85</w:t>
            </w:r>
            <w:r>
              <w:rPr>
                <w:rFonts w:hint="eastAsia" w:cs="仿宋_GB2312"/>
                <w:color w:val="000000"/>
                <w:sz w:val="24"/>
                <w:szCs w:val="24"/>
              </w:rPr>
              <w:t>%</w:t>
            </w:r>
          </w:p>
        </w:tc>
        <w:tc>
          <w:tcPr>
            <w:tcW w:w="996"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851" w:type="dxa"/>
            <w:vAlign w:val="center"/>
          </w:tcPr>
          <w:p>
            <w:pPr>
              <w:spacing w:line="240" w:lineRule="auto"/>
              <w:ind w:firstLine="0" w:firstLineChars="0"/>
              <w:jc w:val="center"/>
              <w:rPr>
                <w:rFonts w:cs="仿宋_GB2312"/>
                <w:sz w:val="24"/>
                <w:szCs w:val="24"/>
              </w:rPr>
            </w:pPr>
            <w:r>
              <w:rPr>
                <w:rFonts w:cs="仿宋_GB2312"/>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广大人民群众通过电影这个形式享受到了影视文化服务，放松了身心，在潜移默化中提高了自身综合素质，观影人员满意度为</w:t>
      </w:r>
      <w:r>
        <w:rPr>
          <w:rFonts w:cs="仿宋_GB2312"/>
          <w:color w:val="333333"/>
          <w:szCs w:val="28"/>
        </w:rPr>
        <w:t>85%</w:t>
      </w:r>
      <w:r>
        <w:rPr>
          <w:rFonts w:hint="eastAsia"/>
          <w:szCs w:val="21"/>
        </w:rPr>
        <w:t>，达到了预期目标值。满意度指标分值10分，按评分标准得10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（1）放映场次及观影人数</w:t>
      </w:r>
    </w:p>
    <w:p>
      <w:pPr>
        <w:ind w:firstLine="560"/>
      </w:pPr>
      <w:r>
        <w:rPr>
          <w:rFonts w:hint="eastAsia"/>
        </w:rPr>
        <w:t>指标均达到了预期目标值，由于实际完成值超过目标值</w:t>
      </w:r>
      <w:r>
        <w:t>130%导致扣分</w:t>
      </w:r>
      <w:r>
        <w:rPr>
          <w:rFonts w:hint="eastAsia"/>
        </w:rPr>
        <w:t>。下一年度将综合考虑各方面因素，科学、合理的设置年度指标值。</w:t>
      </w:r>
    </w:p>
    <w:p>
      <w:pPr>
        <w:numPr>
          <w:ilvl w:val="255"/>
          <w:numId w:val="0"/>
        </w:numPr>
        <w:ind w:firstLine="562"/>
        <w:rPr>
          <w:b/>
          <w:bCs/>
        </w:rPr>
      </w:pPr>
      <w:r>
        <w:rPr>
          <w:rFonts w:hint="eastAsia"/>
          <w:b/>
          <w:bCs/>
        </w:rPr>
        <w:t>（2）少数民族县区数字影院的运营和维护补助影院</w:t>
      </w:r>
    </w:p>
    <w:p>
      <w:pPr>
        <w:numPr>
          <w:ilvl w:val="255"/>
          <w:numId w:val="0"/>
        </w:numPr>
        <w:ind w:firstLine="562"/>
        <w:rPr>
          <w:rFonts w:hint="eastAsia"/>
        </w:rPr>
      </w:pPr>
      <w:r>
        <w:rPr>
          <w:rFonts w:hint="eastAsia"/>
        </w:rPr>
        <w:t>电影事业发展专项资金</w:t>
      </w:r>
      <w:r>
        <w:rPr>
          <w:rFonts w:hint="eastAsia"/>
          <w:lang w:eastAsia="zh-CN"/>
        </w:rPr>
        <w:t>预算执行率为</w:t>
      </w:r>
      <w:r>
        <w:rPr>
          <w:rFonts w:hint="eastAsia"/>
          <w:lang w:val="en-US" w:eastAsia="zh-CN"/>
        </w:rPr>
        <w:t>58.80%，</w:t>
      </w:r>
      <w:r>
        <w:rPr>
          <w:rFonts w:hint="eastAsia"/>
          <w:lang w:eastAsia="zh-CN"/>
        </w:rPr>
        <w:t>根据财政意见，调整了省级电影专资分配方案，按照538.5万元（含2020年结转38.5万元）分配使用，</w:t>
      </w:r>
      <w:r>
        <w:rPr>
          <w:rFonts w:hint="eastAsia"/>
        </w:rPr>
        <w:t>使用范围由原来计划中资助新建影院、资助少数民族地区数字影院、资助国产影片的发行放映、奖励国产影片放映成绩突出影院4项缩减为资助国产影片的发行放映、奖励国产影片放映成绩突出影院2项。致使补助23家少数民族县区数字影院的运营和维护项目未能完成。下一年度包括资助少数民族地区数字影院项目在内的其余项目根据结转情况再行分配，严格按照工作计划进行实施。</w:t>
      </w:r>
    </w:p>
    <w:p>
      <w:pPr>
        <w:numPr>
          <w:ilvl w:val="-1"/>
          <w:numId w:val="0"/>
        </w:numPr>
        <w:ind w:firstLine="562" w:firstLineChars="200"/>
        <w:rPr>
          <w:rFonts w:hint="eastAsia"/>
          <w:b/>
          <w:bCs/>
          <w:lang w:val="en-US" w:eastAsia="zh-CN"/>
        </w:rPr>
      </w:pPr>
      <w:r>
        <w:rPr>
          <w:rFonts w:hint="eastAsia"/>
          <w:b/>
          <w:bCs/>
          <w:lang w:val="en-US" w:eastAsia="zh-CN"/>
        </w:rPr>
        <w:t>（3）预算执行率</w:t>
      </w:r>
    </w:p>
    <w:p>
      <w:pPr>
        <w:numPr>
          <w:ilvl w:val="-1"/>
          <w:numId w:val="0"/>
        </w:numPr>
        <w:ind w:firstLine="560" w:firstLineChars="200"/>
        <w:rPr>
          <w:rFonts w:hint="eastAsia" w:eastAsia="仿宋_GB2312"/>
          <w:b/>
          <w:bCs/>
          <w:lang w:val="en-US" w:eastAsia="zh-CN"/>
        </w:rPr>
      </w:pPr>
      <w:r>
        <w:rPr>
          <w:rFonts w:hint="eastAsia"/>
          <w:szCs w:val="28"/>
        </w:rPr>
        <w:t>电影事业发展专项资金项目预算执行率</w:t>
      </w:r>
      <w:r>
        <w:rPr>
          <w:rFonts w:hint="eastAsia"/>
          <w:szCs w:val="28"/>
          <w:lang w:eastAsia="zh-CN"/>
        </w:rPr>
        <w:t>为</w:t>
      </w:r>
      <w:r>
        <w:rPr>
          <w:rFonts w:hint="eastAsia"/>
          <w:szCs w:val="28"/>
          <w:lang w:val="en-US" w:eastAsia="zh-CN"/>
        </w:rPr>
        <w:t>58.80</w:t>
      </w:r>
      <w:r>
        <w:rPr>
          <w:szCs w:val="28"/>
        </w:rPr>
        <w:t>%</w:t>
      </w:r>
      <w:r>
        <w:rPr>
          <w:rFonts w:hint="eastAsia"/>
          <w:szCs w:val="28"/>
          <w:lang w:eastAsia="zh-CN"/>
        </w:rPr>
        <w:t>，由于年底集中支付量过大导致部分资金未支付。下一年度我部将根据资金支出需求，及时支付剩余资金。</w:t>
      </w:r>
    </w:p>
    <w:p>
      <w:pPr>
        <w:pStyle w:val="3"/>
        <w:ind w:firstLine="643"/>
        <w:rPr>
          <w:rFonts w:ascii="仿宋_GB2312" w:eastAsia="仿宋_GB2312"/>
        </w:rPr>
      </w:pPr>
      <w:bookmarkStart w:id="85" w:name="_Toc16388"/>
      <w:r>
        <w:rPr>
          <w:rFonts w:hint="eastAsia"/>
        </w:rPr>
        <w:t>（十四）项目14－业务费（含学习强国甘肃学习平台建设使用推广培训等）</w:t>
      </w:r>
      <w:bookmarkEnd w:id="85"/>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业务费（含学习强国甘肃学习平台建设使用推广培训等）项目年初预算数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200万元，全年支出数200万元，预算执行率100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本项目自评价得分97.05分，自评结果为“优”。主要任务完成情况分析如下：</w:t>
      </w:r>
    </w:p>
    <w:p>
      <w:pPr>
        <w:ind w:firstLine="562"/>
        <w:rPr>
          <w:szCs w:val="28"/>
        </w:rPr>
      </w:pPr>
      <w:r>
        <w:rPr>
          <w:rFonts w:hint="eastAsia"/>
          <w:b/>
          <w:bCs/>
          <w:szCs w:val="28"/>
        </w:rPr>
        <w:t>预期目标：</w:t>
      </w:r>
      <w:r>
        <w:rPr>
          <w:rFonts w:hint="eastAsia"/>
          <w:szCs w:val="28"/>
        </w:rPr>
        <w:t>完成中央和我省安排部署的主题宣讲任务和在职党员干部理论教育、形势任务教育，建好用好管理好“学习强国”甘肃学习平台。</w:t>
      </w:r>
    </w:p>
    <w:p>
      <w:pPr>
        <w:ind w:firstLine="562"/>
        <w:rPr>
          <w:rFonts w:hAnsi="宋体"/>
          <w:szCs w:val="28"/>
        </w:rPr>
      </w:pPr>
      <w:r>
        <w:rPr>
          <w:rFonts w:hint="eastAsia"/>
          <w:b/>
          <w:bCs/>
          <w:szCs w:val="28"/>
        </w:rPr>
        <w:t>实际完成情况：</w:t>
      </w:r>
      <w:r>
        <w:rPr>
          <w:rFonts w:hint="eastAsia"/>
          <w:szCs w:val="28"/>
        </w:rPr>
        <w:t>2021年，我部组织开展基层理论宣讲活动383场次，组织培训3次，党员干部在职理论学习教育人数达到440万人次，编印发放学习辅导资料0.5万册，切实完成了中央和我省安排部署的主题宣讲任务和在职党员干部理论教育、形势任务教育，“学习强国”甘肃学习平台的宣传优势得到进一步提升。</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产出指标包括数量指标、质量指标、时效指标3个二级指标，16个三级指标，指标总分值50分，自评得分47.05分，得分率94.1%。指标分析如下：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975"/>
        <w:gridCol w:w="1174"/>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“学习强国”甘肃学习平台管理员、供稿员业务培训</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1.62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编印学习辅导材料</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&gt;1万册</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0.5万册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举办全省理论和形势政策宣讲</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2.43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推进党员干部在职理论学习教育</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&gt;350万人（次）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440万人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召开全省理论宣讲、座谈及表彰会</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&gt;3次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组织开展基层理论宣讲活动</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&gt;300场（次）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383场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组织开展理论和现实问题调查研究</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&gt;4篇</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4篇</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组织实施重大主题宣讲活动</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&gt;32场</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41场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材料印刷合格率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党员干部在职理论学习受教育率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&gt;90%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调研成果有效率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培训考核合格率（%）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宣讲地区覆盖率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宣讲人群覆盖率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调研、材料印刷、培训及时性</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宣讲活动完成及时性</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47.05</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94.1%</w:t>
            </w:r>
          </w:p>
        </w:tc>
      </w:tr>
    </w:tbl>
    <w:p>
      <w:pPr>
        <w:spacing w:line="540" w:lineRule="exact"/>
        <w:ind w:firstLine="644" w:firstLineChars="229"/>
        <w:rPr>
          <w:color w:val="FF0000"/>
          <w:highlight w:val="yellow"/>
          <w:lang w:bidi="ar"/>
        </w:rPr>
      </w:pPr>
      <w:r>
        <w:rPr>
          <w:rFonts w:hint="eastAsia"/>
          <w:b/>
          <w:bCs/>
          <w:szCs w:val="28"/>
          <w:lang w:bidi="ar"/>
        </w:rPr>
        <w:t>数量指标：</w:t>
      </w:r>
      <w:r>
        <w:rPr>
          <w:rFonts w:hint="eastAsia"/>
          <w:szCs w:val="28"/>
          <w:lang w:bidi="ar"/>
        </w:rPr>
        <w:t>2021年省委讲师团充分履行其工作职能，全年“学习强国”甘肃学习平台管理员、供稿员业务培训3次，编印学习辅导材料0.5万册，举办全省理论和形势政策宣讲2次，推进440万名党员干部在职理论学习，召开全省理论宣讲、座谈及表彰会3次，组织开展基层理论宣讲活动383场，组织开展理论和现实问题调查研究，形成调研报告4篇，组织实施重大主题宣讲活动41场，“学习强国”甘肃学习平台的宣传优势得到进一步提升。除编印学习辅导材料外其余指标均达到了预期目标值，指标分值合计22分，按评分标准得19.05分，得分率86.59%。</w:t>
      </w:r>
    </w:p>
    <w:p>
      <w:pPr>
        <w:ind w:firstLine="562"/>
        <w:rPr>
          <w:szCs w:val="28"/>
          <w:lang w:bidi="ar"/>
        </w:rPr>
      </w:pPr>
      <w:r>
        <w:rPr>
          <w:rFonts w:hint="eastAsia"/>
          <w:b/>
          <w:bCs/>
          <w:szCs w:val="28"/>
        </w:rPr>
        <w:t>质量指标：</w:t>
      </w:r>
      <w:r>
        <w:rPr>
          <w:rFonts w:hint="eastAsia"/>
          <w:szCs w:val="28"/>
          <w:lang w:bidi="ar"/>
        </w:rPr>
        <w:t>2021年省委讲师团认真履职尽责，推动宣传思想工作守正创新、展现新作为，各项工作取得了新成效。全年材料印刷合格率、党员干部在职理论学习受教育率、调研成果有效率、培训考核合格率、宣讲地区覆盖率、宣讲人群覆盖率均达到100%，保质保量的完成了各项工作。质量指标均达到了预期目标值，指标分值合计24分，按评分标准得24分，得分率100%。</w:t>
      </w:r>
    </w:p>
    <w:p>
      <w:pPr>
        <w:ind w:firstLine="562"/>
        <w:rPr>
          <w:b/>
          <w:bCs/>
          <w:szCs w:val="28"/>
        </w:rPr>
      </w:pPr>
      <w:r>
        <w:rPr>
          <w:rFonts w:hint="eastAsia"/>
          <w:b/>
          <w:bCs/>
          <w:szCs w:val="28"/>
        </w:rPr>
        <w:t>时效指标：</w:t>
      </w:r>
      <w:r>
        <w:rPr>
          <w:rFonts w:hint="eastAsia"/>
          <w:szCs w:val="28"/>
        </w:rPr>
        <w:t>2021年省委讲师团根据年度工作计划完成了调研、材料印刷、培训、宣传等工作，各项工作均在规定时间内完成。时效指标均达到了预期目标值，指标分值合计4分，按评分标准得4分，得分率100%。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效益指标包括社会效益指标、可持续影响指标2个二级指标，7个三级指标，指标总分值30分，自评得分30分，得分率100%。指标分析如下：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200"/>
        <w:gridCol w:w="1260"/>
        <w:gridCol w:w="750"/>
        <w:gridCol w:w="75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“学习强国”甘肃学习平台</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建好用好</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广大党员干部群众的理论水平</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建设幸福美好新甘肃</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提供精神动力</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部门协助</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长效管理制度建设</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规范</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配套设施</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齐备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人员到位率</w:t>
            </w: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省委讲师团完成了中央和我省安排部署的主题宣讲任务和在职党员干部理论教育、形势任务教育，建好用好管理好“学习强国”甘肃学习平台，通过培训、宣传等工作推进党员干部在职理论学习教育，提升了广大党员干部群众的理论水平，为建设幸福美好新甘肃提供了精神动力。社会效益指标均达到了既定目标值，指标分值合计14分，按评分标准得14分，得分率100%。</w:t>
      </w:r>
    </w:p>
    <w:p>
      <w:pPr>
        <w:ind w:firstLine="562"/>
        <w:rPr>
          <w:szCs w:val="28"/>
          <w:highlight w:val="none"/>
        </w:rPr>
      </w:pPr>
      <w:r>
        <w:rPr>
          <w:rFonts w:hint="eastAsia"/>
          <w:b/>
          <w:bCs/>
          <w:szCs w:val="28"/>
          <w:highlight w:val="none"/>
        </w:rPr>
        <w:t>可持续影响指标：</w:t>
      </w:r>
      <w:r>
        <w:rPr>
          <w:rFonts w:hint="eastAsia"/>
          <w:szCs w:val="28"/>
          <w:highlight w:val="none"/>
          <w:lang w:eastAsia="zh-CN"/>
        </w:rPr>
        <w:t>进一步建立健全长效管理机制</w:t>
      </w:r>
      <w:r>
        <w:rPr>
          <w:rFonts w:hint="eastAsia"/>
          <w:szCs w:val="28"/>
          <w:highlight w:val="none"/>
        </w:rPr>
        <w:t>，能够有效指导各项工作的顺利开展，部门间相互协助，配套设施齐备，人员到位率高，保障了各项工作的可持续进展。可持续影响指标均达到了既定目标值，指标分值16分，按评分标准得16分，得分率100%。</w:t>
      </w:r>
    </w:p>
    <w:p>
      <w:pPr>
        <w:ind w:firstLine="560"/>
        <w:rPr>
          <w:b/>
          <w:bCs/>
          <w:szCs w:val="28"/>
        </w:rPr>
      </w:pPr>
      <w:r>
        <w:rPr>
          <w:rFonts w:hint="eastAsia"/>
          <w:b/>
          <w:bCs/>
          <w:szCs w:val="28"/>
        </w:rPr>
        <w:t>（3）满意度指标</w:t>
      </w:r>
    </w:p>
    <w:p>
      <w:pPr>
        <w:ind w:firstLine="560"/>
        <w:rPr>
          <w:rFonts w:hint="eastAsia"/>
          <w:szCs w:val="28"/>
          <w:lang w:bidi="ar"/>
        </w:rPr>
      </w:pPr>
      <w:r>
        <w:rPr>
          <w:rFonts w:hint="eastAsia"/>
          <w:szCs w:val="28"/>
          <w:lang w:bidi="ar"/>
        </w:rPr>
        <w:t>满意度指标包括全省广大党员干部群众满意度、职工满意度2个三级指标，指标分值10分，自评得分10分，得分率100%。指标分析如下：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1185"/>
        <w:gridCol w:w="1170"/>
        <w:gridCol w:w="750"/>
        <w:gridCol w:w="71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41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7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50" w:type="dxa"/>
            <w:vAlign w:val="center"/>
          </w:tcPr>
          <w:p>
            <w:pPr>
              <w:spacing w:line="240" w:lineRule="auto"/>
              <w:ind w:firstLine="0" w:firstLineChars="0"/>
              <w:jc w:val="center"/>
              <w:rPr>
                <w:b/>
                <w:bCs/>
                <w:sz w:val="24"/>
                <w:szCs w:val="24"/>
              </w:rPr>
            </w:pPr>
            <w:r>
              <w:rPr>
                <w:rFonts w:hint="eastAsia"/>
                <w:b/>
                <w:bCs/>
                <w:sz w:val="24"/>
                <w:szCs w:val="24"/>
              </w:rPr>
              <w:t>分值</w:t>
            </w:r>
          </w:p>
        </w:tc>
        <w:tc>
          <w:tcPr>
            <w:tcW w:w="715"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全省广大党员干部群众满意度</w:t>
            </w:r>
          </w:p>
        </w:tc>
        <w:tc>
          <w:tcPr>
            <w:tcW w:w="11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17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5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1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1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职工满意度</w:t>
            </w:r>
          </w:p>
        </w:tc>
        <w:tc>
          <w:tcPr>
            <w:tcW w:w="118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≥90%</w:t>
            </w:r>
          </w:p>
        </w:tc>
        <w:tc>
          <w:tcPr>
            <w:tcW w:w="117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97%</w:t>
            </w:r>
          </w:p>
        </w:tc>
        <w:tc>
          <w:tcPr>
            <w:tcW w:w="75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1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5" w:type="dxa"/>
            <w:gridSpan w:val="3"/>
          </w:tcPr>
          <w:p>
            <w:pPr>
              <w:spacing w:line="240" w:lineRule="auto"/>
              <w:ind w:firstLine="0" w:firstLineChars="0"/>
              <w:jc w:val="center"/>
              <w:rPr>
                <w:b/>
                <w:bCs/>
                <w:sz w:val="24"/>
                <w:szCs w:val="24"/>
              </w:rPr>
            </w:pPr>
            <w:r>
              <w:rPr>
                <w:rFonts w:hint="eastAsia"/>
                <w:b/>
                <w:bCs/>
                <w:sz w:val="24"/>
                <w:szCs w:val="24"/>
              </w:rPr>
              <w:t>合计</w:t>
            </w:r>
          </w:p>
        </w:tc>
        <w:tc>
          <w:tcPr>
            <w:tcW w:w="750" w:type="dxa"/>
            <w:vAlign w:val="center"/>
          </w:tcPr>
          <w:p>
            <w:pPr>
              <w:spacing w:line="240" w:lineRule="auto"/>
              <w:ind w:firstLine="0" w:firstLineChars="0"/>
              <w:jc w:val="center"/>
              <w:rPr>
                <w:b/>
                <w:bCs/>
                <w:sz w:val="24"/>
                <w:szCs w:val="24"/>
              </w:rPr>
            </w:pPr>
            <w:r>
              <w:rPr>
                <w:rFonts w:hint="eastAsia"/>
                <w:b/>
                <w:bCs/>
                <w:sz w:val="24"/>
                <w:szCs w:val="24"/>
              </w:rPr>
              <w:t>10</w:t>
            </w:r>
          </w:p>
        </w:tc>
        <w:tc>
          <w:tcPr>
            <w:tcW w:w="715"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通过对党员群众思想工作的宣传，使全省广大党员干部群众及时了解掌握中央和省委的重大决策部署以及党的理论创新成果，提高了全省广大党员干部群众的理论水平和形势政策水平，获得了党员干部群众较高的认可度和满意度，全省广大党员干部群众满意度为95%；通过加强对职工的培训进一步提升了职工的综合能力，培养了职工工作的积极性，得了机关工作人员的充分认可，职工满意度为97%。满意度指标均达到了预期目标值。指标分值合计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编印学习辅导材料：</w:t>
      </w:r>
      <w:r>
        <w:rPr>
          <w:rFonts w:hint="eastAsia"/>
        </w:rPr>
        <w:t>2021年根据工作所需编印学习辅导材料0.5万册，</w:t>
      </w:r>
      <w:r>
        <w:rPr>
          <w:rFonts w:hint="eastAsia"/>
          <w:lang w:eastAsia="zh-CN"/>
        </w:rPr>
        <w:t>由于编印学习辅助材料册数</w:t>
      </w:r>
      <w:r>
        <w:rPr>
          <w:rFonts w:hint="eastAsia"/>
        </w:rPr>
        <w:t>未达到</w:t>
      </w:r>
      <w:r>
        <w:rPr>
          <w:rFonts w:hint="eastAsia"/>
          <w:lang w:val="en-US" w:eastAsia="zh-CN"/>
        </w:rPr>
        <w:t>1万册的</w:t>
      </w:r>
      <w:r>
        <w:rPr>
          <w:rFonts w:hint="eastAsia"/>
        </w:rPr>
        <w:t>目标值导致偏差。下一年度我部将综合考虑各方面因素，科学、合理的计划预算事项。</w:t>
      </w:r>
    </w:p>
    <w:p>
      <w:pPr>
        <w:pStyle w:val="3"/>
        <w:ind w:firstLine="643"/>
      </w:pPr>
      <w:bookmarkStart w:id="86" w:name="_Toc28823"/>
      <w:r>
        <w:rPr>
          <w:rFonts w:hint="eastAsia"/>
        </w:rPr>
        <w:t>（十五）项目15－《党的建设》杂志社办刊补助</w:t>
      </w:r>
      <w:bookmarkEnd w:id="86"/>
    </w:p>
    <w:p>
      <w:pPr>
        <w:pStyle w:val="4"/>
        <w:ind w:firstLine="562"/>
      </w:pPr>
      <w:r>
        <w:rPr>
          <w:rFonts w:hint="eastAsia"/>
        </w:rPr>
        <w:t>1</w:t>
      </w:r>
      <w:r>
        <w:rPr>
          <w:rFonts w:hint="eastAsia" w:hAnsi="宋体"/>
        </w:rPr>
        <w:t>、</w:t>
      </w:r>
      <w:r>
        <w:rPr>
          <w:rFonts w:hint="eastAsia"/>
        </w:rPr>
        <w:t>项目支出预算执行情况</w:t>
      </w:r>
    </w:p>
    <w:p>
      <w:pPr>
        <w:ind w:firstLine="560"/>
        <w:rPr>
          <w:szCs w:val="28"/>
        </w:rPr>
      </w:pPr>
      <w:r>
        <w:rPr>
          <w:rFonts w:hint="eastAsia"/>
          <w:szCs w:val="28"/>
        </w:rPr>
        <w:t>《党的建设》杂志社办刊补助</w:t>
      </w:r>
      <w:r>
        <w:rPr>
          <w:rFonts w:hint="eastAsia"/>
          <w:szCs w:val="28"/>
          <w:lang w:eastAsia="zh-CN"/>
        </w:rPr>
        <w:t>项目</w:t>
      </w:r>
      <w:r>
        <w:rPr>
          <w:rFonts w:hint="eastAsia"/>
          <w:szCs w:val="28"/>
        </w:rPr>
        <w:t>年初预算数</w:t>
      </w:r>
      <w:r>
        <w:rPr>
          <w:szCs w:val="28"/>
        </w:rPr>
        <w:t>1719.7</w:t>
      </w:r>
      <w:r>
        <w:rPr>
          <w:rFonts w:hint="eastAsia"/>
          <w:szCs w:val="28"/>
        </w:rPr>
        <w:t>万元，</w:t>
      </w:r>
      <w:r>
        <w:rPr>
          <w:rFonts w:hint="eastAsia"/>
          <w:szCs w:val="28"/>
          <w:lang w:eastAsia="zh-CN"/>
        </w:rPr>
        <w:t>上年结转资金</w:t>
      </w:r>
      <w:r>
        <w:rPr>
          <w:rFonts w:hint="eastAsia"/>
          <w:szCs w:val="28"/>
          <w:lang w:val="en-US" w:eastAsia="zh-CN"/>
        </w:rPr>
        <w:t>329.56万元，</w:t>
      </w:r>
      <w:r>
        <w:rPr>
          <w:rFonts w:hint="eastAsia"/>
          <w:szCs w:val="28"/>
        </w:rPr>
        <w:t>全年预算数</w:t>
      </w:r>
      <w:r>
        <w:rPr>
          <w:rFonts w:hint="eastAsia"/>
          <w:szCs w:val="28"/>
          <w:lang w:val="en-US" w:eastAsia="zh-CN"/>
        </w:rPr>
        <w:t>2049.26</w:t>
      </w:r>
      <w:r>
        <w:rPr>
          <w:rFonts w:hint="eastAsia"/>
          <w:szCs w:val="28"/>
        </w:rPr>
        <w:t>万元，全年支出数</w:t>
      </w:r>
      <w:r>
        <w:rPr>
          <w:szCs w:val="28"/>
        </w:rPr>
        <w:t>1</w:t>
      </w:r>
      <w:r>
        <w:rPr>
          <w:rFonts w:hint="eastAsia"/>
          <w:szCs w:val="28"/>
          <w:lang w:val="en-US" w:eastAsia="zh-CN"/>
        </w:rPr>
        <w:t>498.17</w:t>
      </w:r>
      <w:r>
        <w:rPr>
          <w:rFonts w:hint="eastAsia"/>
          <w:szCs w:val="28"/>
        </w:rPr>
        <w:t>万元，预算执行率</w:t>
      </w:r>
      <w:r>
        <w:rPr>
          <w:rFonts w:hint="eastAsia"/>
          <w:szCs w:val="28"/>
          <w:lang w:val="en-US" w:eastAsia="zh-CN"/>
        </w:rPr>
        <w:t>73.11</w:t>
      </w:r>
      <w:r>
        <w:rPr>
          <w:szCs w:val="28"/>
        </w:rPr>
        <w:t>%</w:t>
      </w:r>
      <w:r>
        <w:rPr>
          <w:rFonts w:hint="eastAsia"/>
          <w:szCs w:val="28"/>
        </w:rPr>
        <w:t>，指标分值10分，按评分标准得</w:t>
      </w:r>
      <w:r>
        <w:rPr>
          <w:rFonts w:hint="eastAsia"/>
          <w:szCs w:val="28"/>
          <w:lang w:val="en-US" w:eastAsia="zh-CN"/>
        </w:rPr>
        <w:t>7.31</w:t>
      </w:r>
      <w:r>
        <w:rPr>
          <w:rFonts w:hint="eastAsia"/>
          <w:szCs w:val="28"/>
        </w:rPr>
        <w:t>分，得分率</w:t>
      </w:r>
      <w:r>
        <w:rPr>
          <w:rFonts w:hint="eastAsia"/>
          <w:szCs w:val="28"/>
          <w:lang w:val="en-US" w:eastAsia="zh-CN"/>
        </w:rPr>
        <w:t>73.1</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94.4</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关于党的十九大精神宣传报道工作，按照中宣部的要求，及时规范转载中央主要媒体重点稿件，精心策划专栏专题报告，组织刊发系列评论、重点理论文章和基层经验总结文章，深入开展“新时代新气象新作为”主题采访活动；关于改进宣传方式、提升刊物影响力，开通网络在线阅读，探索实施媒体融合；关于队伍建设和其他工作，强化组织建设，打造过硬干部队伍，做实做细工作，创成精神文明单位，举全社之力，做好精准帮扶工作。</w:t>
      </w:r>
    </w:p>
    <w:p>
      <w:pPr>
        <w:ind w:firstLine="562"/>
        <w:rPr>
          <w:szCs w:val="28"/>
        </w:rPr>
      </w:pPr>
      <w:r>
        <w:rPr>
          <w:rFonts w:hint="eastAsia"/>
          <w:b/>
          <w:bCs/>
          <w:szCs w:val="28"/>
        </w:rPr>
        <w:t>实际完成情况：</w:t>
      </w:r>
      <w:r>
        <w:rPr>
          <w:szCs w:val="28"/>
        </w:rPr>
        <w:t>2021年财政统筹比例较上年上调10%，当年项目资金调减为1719.70万元，上年结转项目资金329.56万元，实际支出1498.17万元，实际完成73.11%。我部按照中宣部的要求，及时规范转载中央主要媒体重点稿件，精心策划专栏专题报告，组织刊发系列评论、重点理论文章和基层经验总结文章，深入开展“新时代新气象新作为”主题采访活动，全年组织重要会议10余次，印刷刊物393.60万本，绩效目标完成良好。</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23</w:t>
      </w:r>
      <w:r>
        <w:rPr>
          <w:rFonts w:hint="eastAsia"/>
          <w:szCs w:val="28"/>
          <w:lang w:bidi="ar"/>
        </w:rPr>
        <w:t>个三级指标，指标总分值50分，自评得分</w:t>
      </w:r>
      <w:r>
        <w:rPr>
          <w:szCs w:val="28"/>
          <w:lang w:bidi="ar"/>
        </w:rPr>
        <w:t>47.09</w:t>
      </w:r>
      <w:r>
        <w:rPr>
          <w:rFonts w:hint="eastAsia"/>
          <w:szCs w:val="28"/>
          <w:lang w:bidi="ar"/>
        </w:rPr>
        <w:t>分，得分率</w:t>
      </w:r>
      <w:r>
        <w:rPr>
          <w:szCs w:val="28"/>
          <w:lang w:bidi="ar"/>
        </w:rPr>
        <w:t>94.18</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43"/>
        <w:gridCol w:w="1559"/>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发放人员工资</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≤34人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27人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1.59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发行会议参会人数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≥120人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公务用车运行数量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2辆</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奖励发行先进个人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≥260人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190人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1.46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奖励征订刊物优秀单位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≥70个</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70个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刊物印刷数（本）</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≤393.60万本</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393.60万本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用电度数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≤56000度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27501度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0.49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用水吨数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≤1100吨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600吨</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0.55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邮件跟踪数量</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=393.60万本</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393.60万本</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组织会议次数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公务用车维护运行稳定率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刊物发布覆盖率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人员工资足额发放率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印刷品质量合格率（%）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供电供暖及时性</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公务用车维护及时性</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会议召开及时性</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刊物出版及时性</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刊物发布及时性</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刊物邮发及时性</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人员工资发放及时</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刊物印刷成本</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每册1.77元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刊物邮寄成本</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6.38元/册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6.37元/册</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47.09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94.18</w:t>
            </w:r>
            <w:r>
              <w:rPr>
                <w:rFonts w:hint="eastAsia" w:hAnsi="等线"/>
                <w:b/>
                <w:bCs/>
                <w:sz w:val="24"/>
                <w:szCs w:val="24"/>
              </w:rPr>
              <w:t>%</w:t>
            </w:r>
          </w:p>
        </w:tc>
      </w:tr>
    </w:tbl>
    <w:p>
      <w:pPr>
        <w:widowControl/>
        <w:snapToGrid w:val="0"/>
        <w:spacing w:line="660" w:lineRule="exact"/>
        <w:ind w:firstLine="562"/>
        <w:jc w:val="left"/>
        <w:rPr>
          <w:szCs w:val="28"/>
          <w:lang w:bidi="ar"/>
        </w:rPr>
      </w:pPr>
      <w:r>
        <w:rPr>
          <w:rFonts w:hint="eastAsia"/>
          <w:b/>
          <w:bCs/>
          <w:szCs w:val="28"/>
          <w:lang w:bidi="ar"/>
        </w:rPr>
        <w:t>数量指标：</w:t>
      </w:r>
      <w:r>
        <w:rPr>
          <w:szCs w:val="28"/>
          <w:lang w:bidi="ar"/>
        </w:rPr>
        <w:t>2021年</w:t>
      </w:r>
      <w:r>
        <w:rPr>
          <w:rFonts w:hint="eastAsia"/>
          <w:szCs w:val="28"/>
          <w:lang w:bidi="ar"/>
        </w:rPr>
        <w:t>计划</w:t>
      </w:r>
      <w:r>
        <w:rPr>
          <w:szCs w:val="28"/>
          <w:lang w:bidi="ar"/>
        </w:rPr>
        <w:t>发放工资人数</w:t>
      </w:r>
      <w:r>
        <w:rPr>
          <w:rFonts w:hint="eastAsia"/>
          <w:szCs w:val="28"/>
          <w:lang w:bidi="ar"/>
        </w:rPr>
        <w:t>至少3</w:t>
      </w:r>
      <w:r>
        <w:rPr>
          <w:szCs w:val="28"/>
          <w:lang w:bidi="ar"/>
        </w:rPr>
        <w:t>4人</w:t>
      </w:r>
      <w:r>
        <w:rPr>
          <w:rFonts w:hint="eastAsia"/>
          <w:szCs w:val="28"/>
          <w:lang w:bidi="ar"/>
        </w:rPr>
        <w:t>，</w:t>
      </w:r>
      <w:r>
        <w:rPr>
          <w:szCs w:val="28"/>
          <w:lang w:bidi="ar"/>
        </w:rPr>
        <w:t>实际</w:t>
      </w:r>
      <w:r>
        <w:rPr>
          <w:rFonts w:hint="eastAsia"/>
          <w:szCs w:val="28"/>
          <w:lang w:bidi="ar"/>
        </w:rPr>
        <w:t>发放工资</w:t>
      </w:r>
      <w:r>
        <w:rPr>
          <w:szCs w:val="28"/>
          <w:lang w:bidi="ar"/>
        </w:rPr>
        <w:t>人数27人</w:t>
      </w:r>
      <w:r>
        <w:rPr>
          <w:rFonts w:hint="eastAsia"/>
          <w:szCs w:val="28"/>
          <w:lang w:bidi="ar"/>
        </w:rPr>
        <w:t>，</w:t>
      </w:r>
      <w:r>
        <w:rPr>
          <w:szCs w:val="28"/>
          <w:lang w:bidi="ar"/>
        </w:rPr>
        <w:t>目标完成率为79.5%</w:t>
      </w:r>
      <w:r>
        <w:rPr>
          <w:rFonts w:hint="eastAsia"/>
          <w:szCs w:val="28"/>
          <w:lang w:bidi="ar"/>
        </w:rPr>
        <w:t>；发行</w:t>
      </w:r>
      <w:r>
        <w:rPr>
          <w:szCs w:val="28"/>
          <w:lang w:bidi="ar"/>
        </w:rPr>
        <w:t>会议参会人数至少120人，实际参会人数0人，</w:t>
      </w:r>
      <w:r>
        <w:rPr>
          <w:rFonts w:hint="eastAsia"/>
          <w:szCs w:val="28"/>
          <w:lang w:bidi="ar"/>
        </w:rPr>
        <w:t>没有达到目标值</w:t>
      </w:r>
      <w:r>
        <w:rPr>
          <w:szCs w:val="28"/>
          <w:lang w:bidi="ar"/>
        </w:rPr>
        <w:t>；</w:t>
      </w:r>
      <w:r>
        <w:rPr>
          <w:rFonts w:hint="eastAsia"/>
          <w:szCs w:val="28"/>
          <w:lang w:bidi="ar"/>
        </w:rPr>
        <w:t>计划公务用车运行数量2辆，实际2辆；</w:t>
      </w:r>
      <w:r>
        <w:rPr>
          <w:szCs w:val="28"/>
          <w:lang w:bidi="ar"/>
        </w:rPr>
        <w:t>计划奖励优秀刊物征订发行单位至少70个，实际奖励70个，目标完成率为100%；计划奖励发行</w:t>
      </w:r>
      <w:r>
        <w:rPr>
          <w:rFonts w:hint="eastAsia"/>
          <w:szCs w:val="28"/>
          <w:lang w:bidi="ar"/>
        </w:rPr>
        <w:t>先进个人至</w:t>
      </w:r>
      <w:r>
        <w:rPr>
          <w:szCs w:val="28"/>
          <w:lang w:bidi="ar"/>
        </w:rPr>
        <w:t>少260人，实际奖励190人，目标完成率为73.08%；计划印刷刊物至少393.6万册，实际印刷393.6万册，目标完成率为100%；</w:t>
      </w:r>
      <w:r>
        <w:rPr>
          <w:rFonts w:hint="eastAsia"/>
          <w:szCs w:val="28"/>
          <w:lang w:bidi="ar"/>
        </w:rPr>
        <w:t>计划邮件跟踪数量3</w:t>
      </w:r>
      <w:r>
        <w:rPr>
          <w:szCs w:val="28"/>
          <w:lang w:bidi="ar"/>
        </w:rPr>
        <w:t>93.6万册，实际</w:t>
      </w:r>
      <w:r>
        <w:rPr>
          <w:rFonts w:hint="eastAsia"/>
          <w:szCs w:val="28"/>
          <w:lang w:bidi="ar"/>
        </w:rPr>
        <w:t>跟踪3</w:t>
      </w:r>
      <w:r>
        <w:rPr>
          <w:szCs w:val="28"/>
          <w:lang w:bidi="ar"/>
        </w:rPr>
        <w:t>93.6万册，目标完成率为100%；计划组织会议至少10次，实际开展10次，目标完成率为100%；</w:t>
      </w:r>
      <w:r>
        <w:rPr>
          <w:rFonts w:hint="eastAsia"/>
          <w:szCs w:val="28"/>
          <w:lang w:bidi="ar"/>
        </w:rPr>
        <w:t>杂志社用水度数2</w:t>
      </w:r>
      <w:r>
        <w:rPr>
          <w:szCs w:val="28"/>
          <w:lang w:bidi="ar"/>
        </w:rPr>
        <w:t>7501</w:t>
      </w:r>
      <w:r>
        <w:rPr>
          <w:rFonts w:hint="eastAsia"/>
          <w:szCs w:val="28"/>
          <w:lang w:bidi="ar"/>
        </w:rPr>
        <w:t>度，用水吨数6</w:t>
      </w:r>
      <w:r>
        <w:rPr>
          <w:szCs w:val="28"/>
          <w:lang w:bidi="ar"/>
        </w:rPr>
        <w:t>00</w:t>
      </w:r>
      <w:r>
        <w:rPr>
          <w:rFonts w:hint="eastAsia"/>
          <w:szCs w:val="28"/>
          <w:lang w:bidi="ar"/>
        </w:rPr>
        <w:t>吨。数量指标中发行会议参会人数因受疫情影响，会议取消，没有达到目标值；奖励发行先进个人因年度指标值设施过高导致偏差，没有达到目标值。指标除分值合计</w:t>
      </w:r>
      <w:r>
        <w:rPr>
          <w:szCs w:val="28"/>
          <w:lang w:bidi="ar"/>
        </w:rPr>
        <w:t>17</w:t>
      </w:r>
      <w:r>
        <w:rPr>
          <w:rFonts w:hint="eastAsia"/>
          <w:szCs w:val="28"/>
          <w:lang w:bidi="ar"/>
        </w:rPr>
        <w:t>分，按评分标准得</w:t>
      </w:r>
      <w:r>
        <w:rPr>
          <w:szCs w:val="28"/>
          <w:lang w:bidi="ar"/>
        </w:rPr>
        <w:t>14.09</w:t>
      </w:r>
      <w:r>
        <w:rPr>
          <w:rFonts w:hint="eastAsia"/>
          <w:szCs w:val="28"/>
          <w:lang w:bidi="ar"/>
        </w:rPr>
        <w:t>分，得分率</w:t>
      </w:r>
      <w:r>
        <w:rPr>
          <w:szCs w:val="28"/>
          <w:lang w:bidi="ar"/>
        </w:rPr>
        <w:t>82.88</w:t>
      </w:r>
      <w:r>
        <w:rPr>
          <w:rFonts w:hint="eastAsia"/>
          <w:szCs w:val="28"/>
          <w:lang w:bidi="ar"/>
        </w:rPr>
        <w:t>%。</w:t>
      </w:r>
    </w:p>
    <w:p>
      <w:pPr>
        <w:ind w:firstLine="562"/>
        <w:rPr>
          <w:szCs w:val="28"/>
        </w:rPr>
      </w:pPr>
      <w:r>
        <w:rPr>
          <w:rFonts w:hint="eastAsia"/>
          <w:b/>
          <w:bCs/>
          <w:szCs w:val="28"/>
        </w:rPr>
        <w:t>质量指标：</w:t>
      </w:r>
      <w:r>
        <w:rPr>
          <w:szCs w:val="28"/>
        </w:rPr>
        <w:t>2021</w:t>
      </w:r>
      <w:r>
        <w:rPr>
          <w:rFonts w:hint="eastAsia"/>
          <w:szCs w:val="28"/>
        </w:rPr>
        <w:t>年度，公务用车维护运行稳定率、人员工资足额发放率及印刷品质量合格率均达到了100%，保障了各项工作的顺利开展；刊物发布覆盖率达到99%，为奋力谱写全面建设社会主义现代化国家的甘肃新篇章贡献了党刊力量。质量指标均达到目标值，指标分值合计</w:t>
      </w:r>
      <w:r>
        <w:rPr>
          <w:szCs w:val="28"/>
        </w:rPr>
        <w:t>15</w:t>
      </w:r>
      <w:r>
        <w:rPr>
          <w:rFonts w:hint="eastAsia"/>
          <w:szCs w:val="28"/>
        </w:rPr>
        <w:t>分，按评分标准得</w:t>
      </w:r>
      <w:r>
        <w:rPr>
          <w:szCs w:val="28"/>
        </w:rPr>
        <w:t>15</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2</w:t>
      </w:r>
      <w:r>
        <w:rPr>
          <w:szCs w:val="28"/>
        </w:rPr>
        <w:t>021</w:t>
      </w:r>
      <w:r>
        <w:rPr>
          <w:rFonts w:hint="eastAsia"/>
          <w:szCs w:val="28"/>
        </w:rPr>
        <w:t>年度，刊物的出版、发布、印刷、邮寄等工作及供电供暖、公务用车维护、召开会议、发放人员工资等工作均在规定时间内完成，各项指标均达到了目标值。指标分值合计</w:t>
      </w:r>
      <w:r>
        <w:rPr>
          <w:szCs w:val="28"/>
        </w:rPr>
        <w:t>14</w:t>
      </w:r>
      <w:r>
        <w:rPr>
          <w:rFonts w:hint="eastAsia"/>
          <w:szCs w:val="28"/>
        </w:rPr>
        <w:t>分，按评分标准得</w:t>
      </w:r>
      <w:r>
        <w:rPr>
          <w:szCs w:val="28"/>
        </w:rPr>
        <w:t>14</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rPr>
          <w:rFonts w:hint="eastAsia"/>
        </w:rPr>
        <w:t>2</w:t>
      </w:r>
      <w:r>
        <w:t>021</w:t>
      </w:r>
      <w:r>
        <w:rPr>
          <w:rFonts w:hint="eastAsia"/>
        </w:rPr>
        <w:t>年刊物印刷成本每册1</w:t>
      </w:r>
      <w:r>
        <w:t>.77</w:t>
      </w:r>
      <w:r>
        <w:rPr>
          <w:rFonts w:hint="eastAsia"/>
        </w:rPr>
        <w:t>元，刊物邮寄成本每本6</w:t>
      </w:r>
      <w:r>
        <w:t>.38</w:t>
      </w:r>
      <w:r>
        <w:rPr>
          <w:rFonts w:hint="eastAsia"/>
        </w:rPr>
        <w:t>册，成本均在预算控制范围之内。成本指标分值合计</w:t>
      </w:r>
      <w:r>
        <w:t>4</w:t>
      </w:r>
      <w:r>
        <w:rPr>
          <w:rFonts w:hint="eastAsia"/>
        </w:rPr>
        <w:t>分，按评分标准得</w:t>
      </w:r>
      <w:r>
        <w:t>4</w:t>
      </w:r>
      <w:r>
        <w:rPr>
          <w:rFonts w:hint="eastAsia"/>
        </w:rPr>
        <w:t>分，得分率</w:t>
      </w:r>
      <w:r>
        <w:t>100</w:t>
      </w:r>
      <w:r>
        <w:rPr>
          <w:rFonts w:hint="eastAsia"/>
        </w:rPr>
        <w:t>%。</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4</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sz w:val="24"/>
                <w:szCs w:val="24"/>
              </w:rPr>
              <w:t>社会公众知晓率（%）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sz w:val="24"/>
                <w:szCs w:val="24"/>
              </w:rPr>
              <w:t>≥90%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sz w:val="24"/>
                <w:szCs w:val="24"/>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sz w:val="24"/>
                <w:szCs w:val="24"/>
              </w:rPr>
              <w:t>长期管理机制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sz w:val="24"/>
                <w:szCs w:val="24"/>
              </w:rPr>
              <w:t>配套设施到位率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sz w:val="24"/>
                <w:szCs w:val="24"/>
              </w:rPr>
              <w:t>≥98%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人员到位率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color w:val="333333"/>
                <w:sz w:val="24"/>
                <w:szCs w:val="24"/>
              </w:rPr>
              <w:t>7.5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333333"/>
                <w:sz w:val="24"/>
                <w:szCs w:val="24"/>
              </w:rPr>
              <w:t>7.5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b/>
                <w:bCs/>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pStyle w:val="11"/>
        <w:ind w:firstLine="562"/>
        <w:rPr>
          <w:lang w:bidi="ar"/>
        </w:rPr>
      </w:pPr>
      <w:r>
        <w:rPr>
          <w:rFonts w:hint="eastAsia"/>
          <w:b/>
          <w:bCs/>
          <w:lang w:bidi="ar"/>
        </w:rPr>
        <w:t>社会效益指标：</w:t>
      </w:r>
      <w:r>
        <w:rPr>
          <w:rFonts w:hint="eastAsia"/>
          <w:lang w:bidi="ar"/>
        </w:rPr>
        <w:t>该专项资金的实施，使社会公众及时了解掌握中央和省委的重大决策部署以及党的理论创新成果，提高了社会公众的理论水平和形势政策水平</w:t>
      </w:r>
      <w:r>
        <w:rPr>
          <w:rFonts w:hint="eastAsia"/>
        </w:rPr>
        <w:t>，</w:t>
      </w:r>
      <w:r>
        <w:rPr>
          <w:rFonts w:hint="eastAsia"/>
          <w:lang w:bidi="ar"/>
        </w:rPr>
        <w:t>社会公众知晓率为9</w:t>
      </w:r>
      <w:r>
        <w:rPr>
          <w:lang w:bidi="ar"/>
        </w:rPr>
        <w:t>0</w:t>
      </w:r>
      <w:r>
        <w:rPr>
          <w:rFonts w:hint="eastAsia"/>
          <w:lang w:bidi="ar"/>
        </w:rPr>
        <w:t>%，达到了预期目标值。社会效益指标分值</w:t>
      </w:r>
      <w:r>
        <w:rPr>
          <w:lang w:bidi="ar"/>
        </w:rPr>
        <w:t>7.5</w:t>
      </w:r>
      <w:r>
        <w:rPr>
          <w:rFonts w:hint="eastAsia"/>
          <w:lang w:bidi="ar"/>
        </w:rPr>
        <w:t>分，按评分标准得</w:t>
      </w:r>
      <w:r>
        <w:rPr>
          <w:lang w:bidi="ar"/>
        </w:rPr>
        <w:t>7.5</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管理制度健全并长期有效，部门协作能力较强，配套设施到位率和人员到位率均达到1</w:t>
      </w:r>
      <w:r>
        <w:rPr>
          <w:szCs w:val="28"/>
        </w:rPr>
        <w:t>00</w:t>
      </w:r>
      <w:r>
        <w:rPr>
          <w:rFonts w:hint="eastAsia"/>
          <w:szCs w:val="28"/>
        </w:rPr>
        <w:t>%。可持续影响指标达到了目标值，指标分值</w:t>
      </w:r>
      <w:r>
        <w:rPr>
          <w:szCs w:val="28"/>
        </w:rPr>
        <w:t>22.5</w:t>
      </w:r>
      <w:r>
        <w:rPr>
          <w:rFonts w:hint="eastAsia"/>
          <w:szCs w:val="28"/>
        </w:rPr>
        <w:t>分，按评分标准得</w:t>
      </w:r>
      <w:r>
        <w:rPr>
          <w:szCs w:val="28"/>
        </w:rPr>
        <w:t>22.5</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满意度指标包括社会公众满意度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1418"/>
        <w:gridCol w:w="1559"/>
        <w:gridCol w:w="850"/>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297"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18"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97" w:type="dxa"/>
            <w:vAlign w:val="center"/>
          </w:tcPr>
          <w:p>
            <w:pPr>
              <w:spacing w:line="240" w:lineRule="auto"/>
              <w:ind w:firstLine="0" w:firstLineChars="0"/>
              <w:rPr>
                <w:rFonts w:ascii="宋体" w:hAnsi="宋体"/>
                <w:color w:val="333333"/>
                <w:sz w:val="24"/>
                <w:szCs w:val="24"/>
              </w:rPr>
            </w:pPr>
            <w:r>
              <w:rPr>
                <w:rFonts w:hint="eastAsia"/>
                <w:color w:val="000000"/>
                <w:sz w:val="24"/>
                <w:szCs w:val="24"/>
              </w:rPr>
              <w:t>社会公众满意度（</w:t>
            </w:r>
            <w:r>
              <w:rPr>
                <w:color w:val="000000"/>
                <w:sz w:val="24"/>
                <w:szCs w:val="24"/>
              </w:rPr>
              <w:t>%）</w:t>
            </w:r>
          </w:p>
        </w:tc>
        <w:tc>
          <w:tcPr>
            <w:tcW w:w="1418"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559"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50"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4" w:type="dxa"/>
            <w:gridSpan w:val="3"/>
            <w:vAlign w:val="center"/>
          </w:tcPr>
          <w:p>
            <w:pPr>
              <w:spacing w:line="240" w:lineRule="auto"/>
              <w:ind w:firstLine="0" w:firstLineChars="0"/>
              <w:jc w:val="center"/>
              <w:rPr>
                <w:b/>
                <w:bCs/>
                <w:sz w:val="24"/>
                <w:szCs w:val="24"/>
              </w:rPr>
            </w:pPr>
            <w:r>
              <w:rPr>
                <w:rFonts w:hint="eastAsia"/>
                <w:b/>
                <w:bCs/>
                <w:sz w:val="24"/>
                <w:szCs w:val="24"/>
              </w:rPr>
              <w:t>合计</w:t>
            </w:r>
          </w:p>
        </w:tc>
        <w:tc>
          <w:tcPr>
            <w:tcW w:w="850"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对于《党的建设》杂志的发行，社会公众对刊物质量不断好评，征订积极性高，</w:t>
      </w:r>
      <w:r>
        <w:rPr>
          <w:rFonts w:hint="eastAsia"/>
          <w:szCs w:val="21"/>
        </w:rPr>
        <w:t>刊物邮发之后</w:t>
      </w:r>
      <w:r>
        <w:rPr>
          <w:szCs w:val="21"/>
        </w:rPr>
        <w:t>未收到任何投诉意见，</w:t>
      </w:r>
      <w:r>
        <w:rPr>
          <w:rFonts w:hint="eastAsia"/>
          <w:szCs w:val="21"/>
        </w:rPr>
        <w:t>社会公众满意度达到9</w:t>
      </w:r>
      <w:r>
        <w:rPr>
          <w:szCs w:val="21"/>
        </w:rPr>
        <w:t>5</w:t>
      </w:r>
      <w:r>
        <w:rPr>
          <w:rFonts w:hint="eastAsia"/>
          <w:szCs w:val="21"/>
        </w:rPr>
        <w:t>%，该项指标达到了预期目标值。满意度指标分值10分，按评分标准得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2"/>
        <w:rPr>
          <w:b/>
          <w:bCs/>
        </w:rPr>
      </w:pPr>
      <w:r>
        <w:rPr>
          <w:rFonts w:hint="eastAsia"/>
          <w:b/>
          <w:bCs/>
        </w:rPr>
        <w:t>（1）发行会议参会人数</w:t>
      </w:r>
    </w:p>
    <w:p>
      <w:pPr>
        <w:ind w:firstLine="560"/>
      </w:pPr>
      <w:r>
        <w:rPr>
          <w:rFonts w:hint="eastAsia"/>
          <w:highlight w:val="none"/>
        </w:rPr>
        <w:t>受疫情影响，会议取消，导致扣分</w:t>
      </w:r>
      <w:r>
        <w:rPr>
          <w:highlight w:val="none"/>
        </w:rPr>
        <w:t>。</w:t>
      </w:r>
      <w:r>
        <w:rPr>
          <w:rFonts w:hint="eastAsia"/>
          <w:highlight w:val="none"/>
        </w:rPr>
        <w:t>下一步将根据工作安排保质保量完成发行会议。</w:t>
      </w:r>
    </w:p>
    <w:p>
      <w:pPr>
        <w:pStyle w:val="11"/>
        <w:numPr>
          <w:ilvl w:val="255"/>
          <w:numId w:val="0"/>
        </w:numPr>
        <w:ind w:firstLine="562"/>
        <w:rPr>
          <w:b/>
          <w:bCs/>
        </w:rPr>
      </w:pPr>
      <w:r>
        <w:rPr>
          <w:rFonts w:hint="eastAsia"/>
          <w:b/>
          <w:bCs/>
        </w:rPr>
        <w:t>（2）奖励发行先进个人</w:t>
      </w:r>
    </w:p>
    <w:p>
      <w:pPr>
        <w:pStyle w:val="11"/>
        <w:numPr>
          <w:ilvl w:val="255"/>
          <w:numId w:val="0"/>
        </w:numPr>
        <w:ind w:firstLine="562"/>
        <w:rPr>
          <w:rFonts w:hint="eastAsia"/>
        </w:rPr>
      </w:pPr>
      <w:r>
        <w:rPr>
          <w:rFonts w:hint="eastAsia"/>
        </w:rPr>
        <w:t>由于年度指标值设置过高导致偏差。下一年度将综合考虑各方面因素，科学、合理的设置年度指标值。</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lang w:eastAsia="zh-CN"/>
        </w:rPr>
      </w:pPr>
      <w:r>
        <w:rPr>
          <w:rFonts w:hint="eastAsia"/>
          <w:b/>
          <w:bCs/>
          <w:lang w:eastAsia="zh-CN"/>
        </w:rPr>
        <w:t>（</w:t>
      </w:r>
      <w:r>
        <w:rPr>
          <w:rFonts w:hint="eastAsia"/>
          <w:b/>
          <w:bCs/>
          <w:lang w:val="en-US" w:eastAsia="zh-CN"/>
        </w:rPr>
        <w:t>3</w:t>
      </w:r>
      <w:r>
        <w:rPr>
          <w:rFonts w:hint="eastAsia"/>
          <w:b/>
          <w:bCs/>
          <w:lang w:eastAsia="zh-CN"/>
        </w:rPr>
        <w:t>）预算执行率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lang w:eastAsia="zh-CN"/>
        </w:rPr>
        <w:t>《党的建设》杂志社办刊补助项目预算执行率为</w:t>
      </w:r>
      <w:r>
        <w:rPr>
          <w:rFonts w:hint="eastAsia"/>
          <w:lang w:val="en-US" w:eastAsia="zh-CN"/>
        </w:rPr>
        <w:t>73.11%，由于2021年12月份印刷费、邮寄费的对应单位没能及时开具发票，无法支付，导致项目预算执行率偏低。下一步我部将根据开具的发票及时支付相关费用。</w:t>
      </w:r>
    </w:p>
    <w:p>
      <w:pPr>
        <w:pStyle w:val="3"/>
        <w:ind w:firstLine="643"/>
        <w:rPr>
          <w:rFonts w:ascii="仿宋_GB2312" w:eastAsia="仿宋_GB2312"/>
        </w:rPr>
      </w:pPr>
      <w:bookmarkStart w:id="87" w:name="_Toc30565"/>
      <w:r>
        <w:rPr>
          <w:rFonts w:hint="eastAsia"/>
        </w:rPr>
        <w:t>（十六）项目16－精神文明建设重点工作经费（含新时代文明实践中心试点建设）</w:t>
      </w:r>
      <w:bookmarkEnd w:id="87"/>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精神文明建设重点工作经费项目年初预算数</w:t>
      </w:r>
      <w:r>
        <w:rPr>
          <w:rFonts w:hint="eastAsia"/>
          <w:szCs w:val="28"/>
          <w:lang w:eastAsia="zh-CN"/>
        </w:rPr>
        <w:t>、</w:t>
      </w:r>
      <w:r>
        <w:rPr>
          <w:rFonts w:hint="eastAsia"/>
          <w:szCs w:val="28"/>
        </w:rPr>
        <w:t>全年预算数</w:t>
      </w:r>
      <w:r>
        <w:rPr>
          <w:rFonts w:hint="eastAsia"/>
          <w:szCs w:val="28"/>
          <w:lang w:eastAsia="zh-CN"/>
        </w:rPr>
        <w:t>均为</w:t>
      </w:r>
      <w:r>
        <w:rPr>
          <w:rFonts w:hint="eastAsia"/>
          <w:szCs w:val="28"/>
        </w:rPr>
        <w:t>580万元，全年支出数580万元，预算执行率100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根据重点工作安排资金支出计划，预计完成精神文明建设重点工作会议不少于6次，全省精神文明建设重点工作培训不少于2次，重点工作活动开展不少于4次，甘肃省精神文明建设宣传杂志印制、先进集体测评验收复查，持续推进志愿服务建设，加强未成年人思想道德建设等工作，着力提高公民道德水平和社会文明程度，为建设幸福美好新甘肃提供坚强思想保证、强大精神动力、丰润道德滋养、良好文化条件。</w:t>
      </w:r>
    </w:p>
    <w:p>
      <w:pPr>
        <w:ind w:firstLine="562"/>
        <w:rPr>
          <w:rFonts w:hAnsi="宋体"/>
          <w:szCs w:val="28"/>
        </w:rPr>
      </w:pPr>
      <w:r>
        <w:rPr>
          <w:rFonts w:hint="eastAsia"/>
          <w:b/>
          <w:bCs/>
          <w:szCs w:val="28"/>
        </w:rPr>
        <w:t>实际完成情况：</w:t>
      </w:r>
      <w:r>
        <w:rPr>
          <w:rFonts w:hint="eastAsia"/>
          <w:szCs w:val="28"/>
        </w:rPr>
        <w:t>2021年度，按照年初设定绩效目标值完成精神文明建设重点工作会议6次，全省精神文明建设重点工作培训2次，重点工作活动开展4次，组织开展甘肃省精神文明建设杂志宣传、先进集体测评验收复查，持续推进志愿服务建设，加强未成年人思想道德建设等工作，着力提高了公民道德水平和社会文明程度，为建设幸福美好新甘肃提供坚强思想保证、强大精神动力、丰润道德滋养、良好文化条件。</w:t>
      </w:r>
    </w:p>
    <w:p>
      <w:pPr>
        <w:pStyle w:val="4"/>
        <w:ind w:firstLine="562"/>
        <w:rPr>
          <w:szCs w:val="28"/>
        </w:rPr>
      </w:pPr>
      <w:r>
        <w:rPr>
          <w:rFonts w:hint="eastAsia"/>
          <w:szCs w:val="28"/>
        </w:rPr>
        <w:t>3</w:t>
      </w:r>
      <w:r>
        <w:rPr>
          <w:rFonts w:hint="eastAsia" w:hAnsi="宋体"/>
          <w:szCs w:val="28"/>
        </w:rPr>
        <w:t>、</w:t>
      </w:r>
      <w:r>
        <w:rPr>
          <w:rFonts w:hint="eastAsia"/>
          <w:szCs w:val="28"/>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产出指标包括数量指标、质量指标、时效指标、成本指标4个二级指标，17个三级指标，指标总分值50分，自评得分50分，得分率100%。指标分析如下：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1170"/>
        <w:gridCol w:w="1174"/>
        <w:gridCol w:w="720"/>
        <w:gridCol w:w="83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《文明家庭风采》电子相册数量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=500册</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500册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甘肃精神文明建设杂志印制</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≥13000册</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13200册</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公益广告宣传制作数量</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5部</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会议资料印刷种类</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2种</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先进集体测评复查批次</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≥2批</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2批</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2.96</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2.96</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重点工作会议开展场次</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≥6场</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重点工作培训场次</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重点活动开展场次</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4场</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专题调研次数</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调研成果转化率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会议精神传达率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重点工作政策符合率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重点活动完成率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专题调研与年度重点工作匹配率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重点工作调研及时行</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资金支付及时性</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及时</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成本控制率</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1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2.94</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合计</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8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50</w:t>
            </w:r>
          </w:p>
        </w:tc>
        <w:tc>
          <w:tcPr>
            <w:tcW w:w="9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b/>
                <w:bCs/>
                <w:color w:val="000000"/>
                <w:sz w:val="24"/>
                <w:szCs w:val="24"/>
              </w:rPr>
            </w:pPr>
            <w:r>
              <w:rPr>
                <w:rFonts w:hint="eastAsia" w:cs="仿宋_GB2312"/>
                <w:b/>
                <w:bCs/>
                <w:color w:val="000000"/>
                <w:sz w:val="24"/>
                <w:szCs w:val="24"/>
              </w:rPr>
              <w:t>100%</w:t>
            </w:r>
          </w:p>
        </w:tc>
      </w:tr>
    </w:tbl>
    <w:p>
      <w:pPr>
        <w:spacing w:line="540" w:lineRule="exact"/>
        <w:ind w:firstLine="644" w:firstLineChars="229"/>
        <w:rPr>
          <w:color w:val="FF0000"/>
          <w:highlight w:val="yellow"/>
          <w:lang w:bidi="ar"/>
        </w:rPr>
      </w:pPr>
      <w:r>
        <w:rPr>
          <w:rFonts w:hint="eastAsia"/>
          <w:b/>
          <w:bCs/>
          <w:szCs w:val="28"/>
          <w:lang w:bidi="ar"/>
        </w:rPr>
        <w:t>数量指标：</w:t>
      </w:r>
      <w:r>
        <w:rPr>
          <w:rFonts w:hint="eastAsia"/>
          <w:szCs w:val="28"/>
          <w:lang w:bidi="ar"/>
        </w:rPr>
        <w:t>2021年甘肃省精神文明建设指导委员会办公室充分履行其工作职能，按照年初设定绩效目标值完成精神文明建设重点工作会议6次，全省精神文明建设重点工作培训2次，重点工作活动开展4次，重点活动开展4场，开展专题调研4次，制作《文明家庭风采》电子相册500册，甘肃精神文明建设杂志印制13200册，制作公益广告5部，印刷会议资料2种，测评复查批先进集体2批，各项工作完成效果良好。数量指标均达到了预期目标值，指标分值合计26.48分，按评分标准得26.48分，得分率100%。</w:t>
      </w:r>
    </w:p>
    <w:p>
      <w:pPr>
        <w:ind w:firstLine="562"/>
        <w:rPr>
          <w:szCs w:val="28"/>
          <w:lang w:bidi="ar"/>
        </w:rPr>
      </w:pPr>
      <w:r>
        <w:rPr>
          <w:rFonts w:hint="eastAsia"/>
          <w:b/>
          <w:bCs/>
          <w:szCs w:val="28"/>
        </w:rPr>
        <w:t>质量指标：</w:t>
      </w:r>
      <w:r>
        <w:rPr>
          <w:rFonts w:hint="eastAsia"/>
          <w:szCs w:val="28"/>
          <w:lang w:bidi="ar"/>
        </w:rPr>
        <w:t>2021年甘肃省精神文明建设指导委员会办公室认真履职尽责，持续推进志愿服务建设，加强未成年人思想道德建设等工作，着力提高公民道德水平和社会文明程度，为建设幸福美好新甘肃提供坚强思想保证、强大精神动力、丰润道德滋养、良好文化条件，各项工作取得了新成效。全年调研成果转化率、会议精神传达率、重点工作政策符合率、重点活动完成率、专题调研与年度重点工作匹配率均达到100%，保质保量的完成了各项工作。质量指标均达到了预期目标值，指标分值合计14.7分，按评分标准得14.7分，得分率100%。</w:t>
      </w:r>
    </w:p>
    <w:p>
      <w:pPr>
        <w:ind w:firstLine="562"/>
        <w:rPr>
          <w:szCs w:val="28"/>
        </w:rPr>
      </w:pPr>
      <w:r>
        <w:rPr>
          <w:rFonts w:hint="eastAsia"/>
          <w:b/>
          <w:bCs/>
          <w:szCs w:val="28"/>
        </w:rPr>
        <w:t>时效指标：</w:t>
      </w:r>
      <w:r>
        <w:rPr>
          <w:rFonts w:hint="eastAsia"/>
          <w:szCs w:val="28"/>
        </w:rPr>
        <w:t>2021年甘肃省精神文明建设指导委员会办公室根据年度工作计划完成了重点工作调研、宣传等工作，资金拨付比较及时，保障了各项工作的顺利开展，计划工作均在规定时间内完成。时效指标均达到了预期目标值，指标分值合计5.88分，按评分标准得5.88分，得分率100%。</w:t>
      </w:r>
    </w:p>
    <w:p>
      <w:pPr>
        <w:ind w:firstLine="562"/>
        <w:rPr>
          <w:szCs w:val="28"/>
        </w:rPr>
      </w:pPr>
      <w:r>
        <w:rPr>
          <w:rFonts w:hint="eastAsia"/>
          <w:b/>
          <w:bCs/>
          <w:szCs w:val="28"/>
        </w:rPr>
        <w:t>成本指标：</w:t>
      </w:r>
      <w:r>
        <w:rPr>
          <w:rFonts w:hint="eastAsia"/>
          <w:szCs w:val="28"/>
        </w:rPr>
        <w:t>2021年精神文明建设重点工作经费项目全年预算资金为580万，实际支出580万元，无超预算开支，成本控制率为100%，达到了预期目标值。</w:t>
      </w:r>
      <w:r>
        <w:rPr>
          <w:rStyle w:val="24"/>
          <w:rFonts w:hint="eastAsia"/>
          <w:sz w:val="28"/>
          <w:szCs w:val="28"/>
        </w:rPr>
        <w:t>指标</w:t>
      </w:r>
      <w:r>
        <w:rPr>
          <w:rFonts w:hint="eastAsia"/>
          <w:szCs w:val="28"/>
        </w:rPr>
        <w:t>分值2.94分，按评分标准得2.94分，得分率100%。</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效益指标包括社会效益指标、可持续影响指标2个二级指标，8个三级指标，指标总分值30分，自评得分30分，得分率100%。指标分析如下：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0"/>
        <w:gridCol w:w="1035"/>
        <w:gridCol w:w="945"/>
        <w:gridCol w:w="750"/>
        <w:gridCol w:w="75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公民道德水平和社会文明程度提升性</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会议精神传达率、覆盖率、知晓率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社会和谐稳定提升性</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部门协助率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长效管理机制</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档案管理机制</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完善</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配套设施到位率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人员到位率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3.75</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7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2021年甘肃省精神文明建设指导委员会办公室加强动态管理，注重提质增效，把创建工作贯穿到城市建设、管理、发展各方面，深化拓展新时代文明实践中心建设，着力在深化拓展上下功夫、完善机制上出成果、培植特色上见实效，创出新经验、提供新借鉴，强化示范引领，有效促进了公民道德水平和社会文明程度的提升，会议精神传达率、覆盖率、知晓率均达到目标值，切实促进了社会的和谐与稳定。社会效益指标均达到了既定目标值，指标分值合计11.25分，按评分标准得11.25分，得分率100%。</w:t>
      </w:r>
    </w:p>
    <w:p>
      <w:pPr>
        <w:ind w:firstLine="562"/>
        <w:rPr>
          <w:szCs w:val="28"/>
          <w:highlight w:val="none"/>
        </w:rPr>
      </w:pPr>
      <w:r>
        <w:rPr>
          <w:rFonts w:hint="eastAsia"/>
          <w:b/>
          <w:bCs/>
          <w:szCs w:val="28"/>
          <w:highlight w:val="none"/>
        </w:rPr>
        <w:t>可持续影响指标：</w:t>
      </w:r>
      <w:r>
        <w:rPr>
          <w:rFonts w:hint="eastAsia"/>
          <w:szCs w:val="28"/>
          <w:highlight w:val="none"/>
          <w:lang w:eastAsia="zh-CN"/>
        </w:rPr>
        <w:t>进一步</w:t>
      </w:r>
      <w:r>
        <w:rPr>
          <w:rFonts w:hint="eastAsia"/>
          <w:szCs w:val="28"/>
          <w:highlight w:val="none"/>
        </w:rPr>
        <w:t>建立</w:t>
      </w:r>
      <w:r>
        <w:rPr>
          <w:rFonts w:hint="eastAsia"/>
          <w:szCs w:val="28"/>
          <w:highlight w:val="none"/>
          <w:lang w:eastAsia="zh-CN"/>
        </w:rPr>
        <w:t>健全长效管理机制</w:t>
      </w:r>
      <w:r>
        <w:rPr>
          <w:rFonts w:hint="eastAsia"/>
          <w:szCs w:val="28"/>
          <w:highlight w:val="none"/>
        </w:rPr>
        <w:t>，能够有效指导各项工作的顺利开展，部门间相互协助，档案管理机制健全，配套设施完备，人员到位率高，保障了各项工作的可持续进展。可持续影响指标均达到了既定目标值，指标分值合计18.75分，按评分标准得18.75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满意度指标包括培训人员满意度、人民群众满意度、实施部门满意率3个三级指标，指标分值10分，自评得分10分，得分率100%。指标分析如下：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665"/>
        <w:gridCol w:w="1860"/>
        <w:gridCol w:w="750"/>
        <w:gridCol w:w="71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24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66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86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750" w:type="dxa"/>
            <w:vAlign w:val="center"/>
          </w:tcPr>
          <w:p>
            <w:pPr>
              <w:spacing w:line="240" w:lineRule="auto"/>
              <w:ind w:firstLine="0" w:firstLineChars="0"/>
              <w:jc w:val="center"/>
              <w:rPr>
                <w:b/>
                <w:bCs/>
                <w:sz w:val="24"/>
                <w:szCs w:val="24"/>
              </w:rPr>
            </w:pPr>
            <w:r>
              <w:rPr>
                <w:rFonts w:hint="eastAsia"/>
                <w:b/>
                <w:bCs/>
                <w:sz w:val="24"/>
                <w:szCs w:val="24"/>
              </w:rPr>
              <w:t>分值</w:t>
            </w:r>
          </w:p>
        </w:tc>
        <w:tc>
          <w:tcPr>
            <w:tcW w:w="715"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培训人员满意度</w:t>
            </w:r>
          </w:p>
        </w:tc>
        <w:tc>
          <w:tcPr>
            <w:tcW w:w="166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86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50" w:type="dxa"/>
            <w:vAlign w:val="center"/>
          </w:tcPr>
          <w:p>
            <w:pPr>
              <w:spacing w:line="240" w:lineRule="auto"/>
              <w:ind w:firstLine="0" w:firstLineChars="0"/>
              <w:jc w:val="center"/>
              <w:rPr>
                <w:rFonts w:cs="仿宋_GB2312"/>
                <w:sz w:val="24"/>
                <w:szCs w:val="24"/>
              </w:rPr>
            </w:pPr>
            <w:r>
              <w:rPr>
                <w:rFonts w:hint="eastAsia" w:cs="仿宋_GB2312"/>
                <w:sz w:val="24"/>
                <w:szCs w:val="24"/>
              </w:rPr>
              <w:t>3.34</w:t>
            </w:r>
          </w:p>
        </w:tc>
        <w:tc>
          <w:tcPr>
            <w:tcW w:w="715" w:type="dxa"/>
            <w:vAlign w:val="center"/>
          </w:tcPr>
          <w:p>
            <w:pPr>
              <w:spacing w:line="240" w:lineRule="auto"/>
              <w:ind w:firstLine="0" w:firstLineChars="0"/>
              <w:jc w:val="center"/>
              <w:rPr>
                <w:rFonts w:cs="仿宋_GB2312"/>
                <w:sz w:val="24"/>
                <w:szCs w:val="24"/>
              </w:rPr>
            </w:pPr>
            <w:r>
              <w:rPr>
                <w:rFonts w:hint="eastAsia" w:cs="仿宋_GB2312"/>
                <w:sz w:val="24"/>
                <w:szCs w:val="24"/>
              </w:rPr>
              <w:t>3.34</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人民群众满意率</w:t>
            </w:r>
          </w:p>
        </w:tc>
        <w:tc>
          <w:tcPr>
            <w:tcW w:w="166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86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50" w:type="dxa"/>
            <w:vAlign w:val="center"/>
          </w:tcPr>
          <w:p>
            <w:pPr>
              <w:spacing w:line="240" w:lineRule="auto"/>
              <w:ind w:firstLine="0" w:firstLineChars="0"/>
              <w:jc w:val="center"/>
              <w:rPr>
                <w:rFonts w:cs="仿宋_GB2312"/>
                <w:sz w:val="24"/>
                <w:szCs w:val="24"/>
              </w:rPr>
            </w:pPr>
            <w:r>
              <w:rPr>
                <w:rFonts w:hint="eastAsia" w:cs="仿宋_GB2312"/>
                <w:sz w:val="24"/>
                <w:szCs w:val="24"/>
              </w:rPr>
              <w:t>3.33</w:t>
            </w:r>
          </w:p>
        </w:tc>
        <w:tc>
          <w:tcPr>
            <w:tcW w:w="715" w:type="dxa"/>
            <w:vAlign w:val="center"/>
          </w:tcPr>
          <w:p>
            <w:pPr>
              <w:spacing w:line="240" w:lineRule="auto"/>
              <w:ind w:firstLine="0" w:firstLineChars="0"/>
              <w:jc w:val="center"/>
              <w:rPr>
                <w:rFonts w:cs="仿宋_GB2312"/>
                <w:sz w:val="24"/>
                <w:szCs w:val="24"/>
              </w:rPr>
            </w:pPr>
            <w:r>
              <w:rPr>
                <w:rFonts w:hint="eastAsia" w:cs="仿宋_GB2312"/>
                <w:sz w:val="24"/>
                <w:szCs w:val="24"/>
              </w:rPr>
              <w:t>3.33</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0" w:type="dxa"/>
            <w:vAlign w:val="center"/>
          </w:tcPr>
          <w:p>
            <w:pPr>
              <w:spacing w:line="240" w:lineRule="auto"/>
              <w:ind w:firstLine="0" w:firstLineChars="0"/>
              <w:rPr>
                <w:rFonts w:cs="仿宋_GB2312"/>
                <w:color w:val="000000"/>
                <w:sz w:val="24"/>
                <w:szCs w:val="24"/>
              </w:rPr>
            </w:pPr>
            <w:r>
              <w:rPr>
                <w:rFonts w:hint="eastAsia" w:cs="仿宋_GB2312"/>
                <w:color w:val="000000"/>
                <w:sz w:val="24"/>
                <w:szCs w:val="24"/>
              </w:rPr>
              <w:t>实施部门满意率</w:t>
            </w:r>
          </w:p>
        </w:tc>
        <w:tc>
          <w:tcPr>
            <w:tcW w:w="1665"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1860" w:type="dxa"/>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95%</w:t>
            </w:r>
          </w:p>
        </w:tc>
        <w:tc>
          <w:tcPr>
            <w:tcW w:w="750" w:type="dxa"/>
            <w:vAlign w:val="center"/>
          </w:tcPr>
          <w:p>
            <w:pPr>
              <w:spacing w:line="240" w:lineRule="auto"/>
              <w:ind w:firstLine="0" w:firstLineChars="0"/>
              <w:jc w:val="center"/>
              <w:rPr>
                <w:rFonts w:cs="仿宋_GB2312"/>
                <w:sz w:val="24"/>
                <w:szCs w:val="24"/>
              </w:rPr>
            </w:pPr>
            <w:r>
              <w:rPr>
                <w:rFonts w:hint="eastAsia" w:cs="仿宋_GB2312"/>
                <w:sz w:val="24"/>
                <w:szCs w:val="24"/>
              </w:rPr>
              <w:t>3.33</w:t>
            </w:r>
          </w:p>
        </w:tc>
        <w:tc>
          <w:tcPr>
            <w:tcW w:w="715" w:type="dxa"/>
            <w:vAlign w:val="center"/>
          </w:tcPr>
          <w:p>
            <w:pPr>
              <w:spacing w:line="240" w:lineRule="auto"/>
              <w:ind w:firstLine="0" w:firstLineChars="0"/>
              <w:jc w:val="center"/>
              <w:rPr>
                <w:rFonts w:cs="仿宋_GB2312"/>
                <w:sz w:val="24"/>
                <w:szCs w:val="24"/>
              </w:rPr>
            </w:pPr>
            <w:r>
              <w:rPr>
                <w:rFonts w:hint="eastAsia" w:cs="仿宋_GB2312"/>
                <w:sz w:val="24"/>
                <w:szCs w:val="24"/>
              </w:rPr>
              <w:t>3.33</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5" w:type="dxa"/>
            <w:gridSpan w:val="3"/>
          </w:tcPr>
          <w:p>
            <w:pPr>
              <w:spacing w:line="240" w:lineRule="auto"/>
              <w:ind w:firstLine="0" w:firstLineChars="0"/>
              <w:jc w:val="center"/>
              <w:rPr>
                <w:b/>
                <w:bCs/>
                <w:sz w:val="24"/>
                <w:szCs w:val="24"/>
              </w:rPr>
            </w:pPr>
            <w:r>
              <w:rPr>
                <w:rFonts w:hint="eastAsia"/>
                <w:b/>
                <w:bCs/>
                <w:sz w:val="24"/>
                <w:szCs w:val="24"/>
              </w:rPr>
              <w:t>合计</w:t>
            </w:r>
          </w:p>
        </w:tc>
        <w:tc>
          <w:tcPr>
            <w:tcW w:w="750" w:type="dxa"/>
            <w:vAlign w:val="center"/>
          </w:tcPr>
          <w:p>
            <w:pPr>
              <w:spacing w:line="240" w:lineRule="auto"/>
              <w:ind w:firstLine="0" w:firstLineChars="0"/>
              <w:jc w:val="center"/>
              <w:rPr>
                <w:b/>
                <w:bCs/>
                <w:sz w:val="24"/>
                <w:szCs w:val="24"/>
              </w:rPr>
            </w:pPr>
            <w:r>
              <w:rPr>
                <w:rFonts w:hint="eastAsia"/>
                <w:b/>
                <w:bCs/>
                <w:sz w:val="24"/>
                <w:szCs w:val="24"/>
              </w:rPr>
              <w:t>10</w:t>
            </w:r>
          </w:p>
        </w:tc>
        <w:tc>
          <w:tcPr>
            <w:tcW w:w="715"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加强改进文明单位创建工作，拓展创建领域，改进创建方法，发挥省直机关高标准积极创建文明单位的示范引领效应，激发创建工作积极性和主动性，扩大创建工作覆盖面和影响力，持续深化文明家庭创建工作，扩大创建活动参与面、影响力，引导党员干部、公众人物带头遵守公序良俗、履行家庭责任，得到了人民群众的一致好评，人民群众满意度为95%；全年合理安排培训课时加强人员的培训工作，加强与实施部门的联系，保障了各项工作的顺利开展，培训人员满意度、实施部门满意率均达到95%。指标分值10分，按评分标准得10分，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88" w:name="_Toc21338"/>
      <w:r>
        <w:rPr>
          <w:rFonts w:hint="eastAsia"/>
        </w:rPr>
        <w:t>（十七）项目17－长征长城黄河公园建设及省级文化产业发展改革专项</w:t>
      </w:r>
      <w:bookmarkEnd w:id="88"/>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长征长城黄河公园建设及省级文化产业发展改革专项年初预算数</w:t>
      </w:r>
      <w:r>
        <w:rPr>
          <w:rFonts w:hint="eastAsia"/>
          <w:szCs w:val="28"/>
          <w:lang w:eastAsia="zh-CN"/>
        </w:rPr>
        <w:t>、</w:t>
      </w:r>
      <w:r>
        <w:rPr>
          <w:rFonts w:hint="eastAsia"/>
          <w:szCs w:val="28"/>
        </w:rPr>
        <w:t>全年预算数</w:t>
      </w:r>
      <w:r>
        <w:rPr>
          <w:rFonts w:hint="eastAsia"/>
          <w:szCs w:val="28"/>
          <w:lang w:eastAsia="zh-CN"/>
        </w:rPr>
        <w:t>均为</w:t>
      </w:r>
      <w:r>
        <w:rPr>
          <w:szCs w:val="28"/>
        </w:rPr>
        <w:t>6000</w:t>
      </w:r>
      <w:r>
        <w:rPr>
          <w:rFonts w:hint="eastAsia"/>
          <w:szCs w:val="28"/>
        </w:rPr>
        <w:t>万元，全年支出数</w:t>
      </w:r>
      <w:r>
        <w:rPr>
          <w:szCs w:val="28"/>
        </w:rPr>
        <w:t>6000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96.23</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通过文化产业发展专项资金的持续投入，引导更多社会和金融资本进入我省文化产业；进一步支持和引导各地文化产业转型升级和产业发展，重点扶持文化产业项目、培育文化市场，</w:t>
      </w:r>
      <w:r>
        <w:rPr>
          <w:szCs w:val="28"/>
        </w:rPr>
        <w:t>推动新兴文化业态的发展。大力发展文化与旅游融合、文化与科技融合、文化与体育融合、文化与农业融合、文化与中医药养生保健融合等五大融合型文化产业，进一步推动我省文化产业发展，文化产业增加值占GDP比重不断提高，逐步成为支柱产业。</w:t>
      </w:r>
    </w:p>
    <w:p>
      <w:pPr>
        <w:ind w:firstLine="562"/>
        <w:rPr>
          <w:szCs w:val="28"/>
        </w:rPr>
      </w:pPr>
      <w:r>
        <w:rPr>
          <w:rFonts w:hint="eastAsia"/>
          <w:b/>
          <w:bCs/>
          <w:szCs w:val="28"/>
        </w:rPr>
        <w:t>实际完成情况：</w:t>
      </w:r>
      <w:r>
        <w:rPr>
          <w:rFonts w:hint="eastAsia"/>
          <w:szCs w:val="28"/>
        </w:rPr>
        <w:t>为推进长城、长征和黄河国家文化公园甘肃段建设，</w:t>
      </w:r>
      <w:r>
        <w:rPr>
          <w:szCs w:val="28"/>
        </w:rPr>
        <w:t>2021年实施甘肃省长城、长征和黄河国家文化公园风貌提升项目，共资助项目20个，推动了新兴文化业态的发展；参加了深圳文博会，进一步推动了我省文化产业发展，文化产业增加值占GDP比重不断提高。</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11</w:t>
      </w:r>
      <w:r>
        <w:rPr>
          <w:rFonts w:hint="eastAsia"/>
          <w:szCs w:val="28"/>
          <w:lang w:bidi="ar"/>
        </w:rPr>
        <w:t>个三级指标，指标总分值50分，自评得分</w:t>
      </w:r>
      <w:r>
        <w:rPr>
          <w:szCs w:val="28"/>
          <w:lang w:bidi="ar"/>
        </w:rPr>
        <w:t>46.23</w:t>
      </w:r>
      <w:r>
        <w:rPr>
          <w:rFonts w:hint="eastAsia"/>
          <w:szCs w:val="28"/>
          <w:lang w:bidi="ar"/>
        </w:rPr>
        <w:t>分，得分率</w:t>
      </w:r>
      <w:r>
        <w:rPr>
          <w:szCs w:val="28"/>
          <w:lang w:bidi="ar"/>
        </w:rPr>
        <w:t>92.46</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01"/>
        <w:gridCol w:w="1559"/>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甘肃展馆布展面积</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≥600平方米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297平方米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0.99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甘肃展馆布展数量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≥30个</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深圳文博会组织次数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资助文化产业项目数量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≥10个</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20个</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1.62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补助及贴息资金足额发放率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受资助/贴息项目政策符合度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展馆布置验收合格率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深圳文博会组织及时性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展馆搭建及时性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资助/贴息资金发放及时性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专项资金专家评审费用/次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≤2万/次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1.61万/次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333333"/>
                <w:sz w:val="24"/>
                <w:szCs w:val="24"/>
              </w:rPr>
              <w:t>2.42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46.23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92.46%</w:t>
            </w:r>
          </w:p>
        </w:tc>
      </w:tr>
    </w:tbl>
    <w:p>
      <w:pPr>
        <w:widowControl/>
        <w:snapToGrid w:val="0"/>
        <w:spacing w:line="660" w:lineRule="exact"/>
        <w:ind w:firstLine="562"/>
        <w:rPr>
          <w:szCs w:val="28"/>
          <w:lang w:bidi="ar"/>
        </w:rPr>
      </w:pPr>
      <w:r>
        <w:rPr>
          <w:rFonts w:hint="eastAsia"/>
          <w:b/>
          <w:bCs/>
          <w:szCs w:val="28"/>
          <w:lang w:bidi="ar"/>
        </w:rPr>
        <w:t>数量指标：</w:t>
      </w:r>
      <w:r>
        <w:rPr>
          <w:rFonts w:hint="eastAsia"/>
          <w:szCs w:val="28"/>
          <w:lang w:bidi="ar"/>
        </w:rPr>
        <w:t>2021年度，资助文化产业项目全年实际完成甘肃省长城、长征和黄河国家文化公园风貌提升项目20个，深圳文博会组织次数全年实际完成1次，均已达到目标值。甘肃展馆布展面积全年实际完成2</w:t>
      </w:r>
      <w:r>
        <w:rPr>
          <w:szCs w:val="28"/>
          <w:lang w:bidi="ar"/>
        </w:rPr>
        <w:t>97</w:t>
      </w:r>
      <w:r>
        <w:rPr>
          <w:rFonts w:hint="eastAsia"/>
          <w:szCs w:val="28"/>
          <w:lang w:bidi="ar"/>
        </w:rPr>
        <w:t>平方米，没有达到目标值，主要原因在于：按照举办方要求，分配至各省的主题展馆面积均在300平方米以内。甘肃展馆布展数量全年实际完成</w:t>
      </w:r>
      <w:r>
        <w:rPr>
          <w:szCs w:val="28"/>
          <w:lang w:bidi="ar"/>
        </w:rPr>
        <w:t>3</w:t>
      </w:r>
      <w:r>
        <w:rPr>
          <w:rFonts w:hint="eastAsia"/>
          <w:szCs w:val="28"/>
          <w:lang w:bidi="ar"/>
        </w:rPr>
        <w:t>个，因年度指标值设置过高，该项没有达到目标值。指标分值合计</w:t>
      </w:r>
      <w:r>
        <w:rPr>
          <w:szCs w:val="28"/>
          <w:lang w:bidi="ar"/>
        </w:rPr>
        <w:t>8</w:t>
      </w:r>
      <w:r>
        <w:rPr>
          <w:rFonts w:hint="eastAsia"/>
          <w:szCs w:val="28"/>
          <w:lang w:bidi="ar"/>
        </w:rPr>
        <w:t>分，按评分标准得</w:t>
      </w:r>
      <w:r>
        <w:rPr>
          <w:szCs w:val="28"/>
          <w:lang w:bidi="ar"/>
        </w:rPr>
        <w:t>4.81</w:t>
      </w:r>
      <w:r>
        <w:rPr>
          <w:rFonts w:hint="eastAsia"/>
          <w:szCs w:val="28"/>
          <w:lang w:bidi="ar"/>
        </w:rPr>
        <w:t>分，得分率</w:t>
      </w:r>
      <w:r>
        <w:rPr>
          <w:szCs w:val="28"/>
          <w:lang w:bidi="ar"/>
        </w:rPr>
        <w:t>60.13</w:t>
      </w:r>
      <w:r>
        <w:rPr>
          <w:rFonts w:hint="eastAsia"/>
          <w:szCs w:val="28"/>
          <w:lang w:bidi="ar"/>
        </w:rPr>
        <w:t>%。</w:t>
      </w:r>
    </w:p>
    <w:p>
      <w:pPr>
        <w:ind w:firstLine="562"/>
        <w:rPr>
          <w:szCs w:val="28"/>
        </w:rPr>
      </w:pPr>
      <w:r>
        <w:rPr>
          <w:rFonts w:hint="eastAsia"/>
          <w:b/>
          <w:bCs/>
          <w:szCs w:val="28"/>
        </w:rPr>
        <w:t>质量指标：</w:t>
      </w:r>
      <w:r>
        <w:rPr>
          <w:szCs w:val="28"/>
        </w:rPr>
        <w:t>2021</w:t>
      </w:r>
      <w:r>
        <w:rPr>
          <w:rFonts w:hint="eastAsia"/>
          <w:szCs w:val="28"/>
        </w:rPr>
        <w:t>年度，受资助、</w:t>
      </w:r>
      <w:r>
        <w:rPr>
          <w:szCs w:val="28"/>
        </w:rPr>
        <w:t>贴息项目</w:t>
      </w:r>
      <w:r>
        <w:rPr>
          <w:rFonts w:hint="eastAsia"/>
          <w:szCs w:val="28"/>
        </w:rPr>
        <w:t>均符合政策要求，补助及贴息资金已足额发放，展馆布置验收合格率达到1</w:t>
      </w:r>
      <w:r>
        <w:rPr>
          <w:szCs w:val="28"/>
        </w:rPr>
        <w:t>00</w:t>
      </w:r>
      <w:r>
        <w:rPr>
          <w:rFonts w:hint="eastAsia"/>
          <w:szCs w:val="28"/>
        </w:rPr>
        <w:t>%。质量指标均达到目标值，指标分值合计</w:t>
      </w:r>
      <w:r>
        <w:rPr>
          <w:szCs w:val="28"/>
        </w:rPr>
        <w:t>30</w:t>
      </w:r>
      <w:r>
        <w:rPr>
          <w:rFonts w:hint="eastAsia"/>
          <w:szCs w:val="28"/>
        </w:rPr>
        <w:t>，按评分标准得</w:t>
      </w:r>
      <w:r>
        <w:rPr>
          <w:szCs w:val="28"/>
        </w:rPr>
        <w:t>30</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2</w:t>
      </w:r>
      <w:r>
        <w:rPr>
          <w:szCs w:val="28"/>
        </w:rPr>
        <w:t>021</w:t>
      </w:r>
      <w:r>
        <w:rPr>
          <w:rFonts w:hint="eastAsia"/>
          <w:szCs w:val="28"/>
        </w:rPr>
        <w:t>年度，我部组织参加深圳文博会、展馆搭建等工作均在规定时间内完成，资助资金发放及时，保障了各项工作的顺利开展，时效指标均达到了目标值。指标分值合计</w:t>
      </w:r>
      <w:r>
        <w:rPr>
          <w:szCs w:val="28"/>
        </w:rPr>
        <w:t>9</w:t>
      </w:r>
      <w:r>
        <w:rPr>
          <w:rFonts w:hint="eastAsia"/>
          <w:szCs w:val="28"/>
        </w:rPr>
        <w:t>分，按评分标准得</w:t>
      </w:r>
      <w:r>
        <w:rPr>
          <w:szCs w:val="28"/>
        </w:rPr>
        <w:t>9</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rPr>
          <w:rFonts w:hint="eastAsia"/>
        </w:rPr>
        <w:t>2</w:t>
      </w:r>
      <w:r>
        <w:t>021</w:t>
      </w:r>
      <w:r>
        <w:rPr>
          <w:rFonts w:hint="eastAsia"/>
        </w:rPr>
        <w:t>年专项资金每次专家评审费用为</w:t>
      </w:r>
      <w:r>
        <w:t>1.61万/次</w:t>
      </w:r>
      <w:r>
        <w:rPr>
          <w:rFonts w:hint="eastAsia"/>
        </w:rPr>
        <w:t>，在预算控制范围之内，已达到目标值。成本指标分值合计</w:t>
      </w:r>
      <w:r>
        <w:t>3</w:t>
      </w:r>
      <w:r>
        <w:rPr>
          <w:rFonts w:hint="eastAsia"/>
        </w:rPr>
        <w:t>分，系统得分</w:t>
      </w:r>
      <w:r>
        <w:t>2.42</w:t>
      </w:r>
      <w:r>
        <w:rPr>
          <w:rFonts w:hint="eastAsia"/>
        </w:rPr>
        <w:t>分，得分率</w:t>
      </w:r>
      <w:r>
        <w:t>80.67</w:t>
      </w:r>
      <w:r>
        <w:rPr>
          <w:rFonts w:hint="eastAsia"/>
        </w:rPr>
        <w:t>%。</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效益指标包括经济效益指标、社会效益指标、生态效益指标和可持续影响指标</w:t>
      </w:r>
      <w:r>
        <w:rPr>
          <w:szCs w:val="28"/>
          <w:lang w:bidi="ar"/>
        </w:rPr>
        <w:t>4</w:t>
      </w:r>
      <w:r>
        <w:rPr>
          <w:rFonts w:hint="eastAsia"/>
          <w:szCs w:val="28"/>
          <w:lang w:bidi="ar"/>
        </w:rPr>
        <w:t>个二级指标，</w:t>
      </w:r>
      <w:r>
        <w:rPr>
          <w:szCs w:val="28"/>
          <w:lang w:bidi="ar"/>
        </w:rPr>
        <w:t>5</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095"/>
        <w:gridCol w:w="1122"/>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全省文化产业新增从业人数增长</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增长</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全省文化产业增加值占GDP比重</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甘肃省文化产业繁荣发展</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促进</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推动甘肃绿色生态产业发展</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促进</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r>
              <w:rPr>
                <w:rFonts w:cs="仿宋_GB2312"/>
                <w:color w:val="000000"/>
                <w:sz w:val="24"/>
                <w:szCs w:val="24"/>
              </w:rPr>
              <w:t>00</w:t>
            </w:r>
            <w:r>
              <w:rPr>
                <w:rFonts w:hint="eastAsia"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推动文化产业发展</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长期</w:t>
            </w:r>
          </w:p>
        </w:tc>
        <w:tc>
          <w:tcPr>
            <w:tcW w:w="112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w:t>
            </w:r>
            <w:r>
              <w:rPr>
                <w:rFonts w:cs="仿宋_GB2312"/>
                <w:color w:val="000000"/>
                <w:sz w:val="24"/>
                <w:szCs w:val="24"/>
              </w:rPr>
              <w:t>00</w:t>
            </w:r>
            <w:r>
              <w:rPr>
                <w:rFonts w:hint="eastAsia"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经济效益指标：</w:t>
      </w:r>
      <w:r>
        <w:rPr>
          <w:rFonts w:hint="eastAsia"/>
          <w:szCs w:val="28"/>
          <w:lang w:bidi="ar"/>
        </w:rPr>
        <w:t>项目的实施激励了我省文化产业新增从业人数的增长，</w:t>
      </w:r>
      <w:r>
        <w:rPr>
          <w:rFonts w:hint="eastAsia"/>
          <w:lang w:bidi="ar"/>
        </w:rPr>
        <w:t>推动更多社会和金融资本持续进入我省文化产业，</w:t>
      </w:r>
      <w:r>
        <w:rPr>
          <w:rFonts w:hint="eastAsia"/>
          <w:szCs w:val="28"/>
          <w:lang w:bidi="ar"/>
        </w:rPr>
        <w:t>文化产业占</w:t>
      </w:r>
      <w:r>
        <w:rPr>
          <w:szCs w:val="28"/>
          <w:lang w:bidi="ar"/>
        </w:rPr>
        <w:t>GDP比重</w:t>
      </w:r>
      <w:r>
        <w:rPr>
          <w:rFonts w:hint="eastAsia"/>
          <w:szCs w:val="28"/>
          <w:lang w:bidi="ar"/>
        </w:rPr>
        <w:t>也不断增加。指标分值</w:t>
      </w:r>
      <w:r>
        <w:rPr>
          <w:szCs w:val="28"/>
          <w:lang w:bidi="ar"/>
        </w:rPr>
        <w:t>12</w:t>
      </w:r>
      <w:r>
        <w:rPr>
          <w:rFonts w:hint="eastAsia"/>
          <w:szCs w:val="28"/>
          <w:lang w:bidi="ar"/>
        </w:rPr>
        <w:t>分，按评分标准得</w:t>
      </w:r>
      <w:r>
        <w:rPr>
          <w:szCs w:val="28"/>
          <w:lang w:bidi="ar"/>
        </w:rPr>
        <w:t>12</w:t>
      </w:r>
      <w:r>
        <w:rPr>
          <w:rFonts w:hint="eastAsia"/>
          <w:szCs w:val="28"/>
          <w:lang w:bidi="ar"/>
        </w:rPr>
        <w:t>分，得分率</w:t>
      </w:r>
      <w:r>
        <w:rPr>
          <w:szCs w:val="28"/>
          <w:lang w:bidi="ar"/>
        </w:rPr>
        <w:t>100</w:t>
      </w:r>
      <w:r>
        <w:rPr>
          <w:rFonts w:hint="eastAsia"/>
          <w:szCs w:val="28"/>
          <w:lang w:bidi="ar"/>
        </w:rPr>
        <w:t>%。</w:t>
      </w:r>
    </w:p>
    <w:p>
      <w:pPr>
        <w:pStyle w:val="11"/>
        <w:ind w:firstLine="562"/>
        <w:rPr>
          <w:lang w:bidi="ar"/>
        </w:rPr>
      </w:pPr>
      <w:r>
        <w:rPr>
          <w:rFonts w:hint="eastAsia"/>
          <w:b/>
          <w:bCs/>
          <w:lang w:bidi="ar"/>
        </w:rPr>
        <w:t>社会效益指标：</w:t>
      </w:r>
      <w:r>
        <w:rPr>
          <w:rFonts w:hint="eastAsia"/>
          <w:lang w:bidi="ar"/>
        </w:rPr>
        <w:t>通过本专项资金的持续投入，不断展现了甘肃文化事业和文化产业发展情况，促进了甘肃省文化产业繁荣发展。指标分值</w:t>
      </w:r>
      <w:r>
        <w:rPr>
          <w:lang w:bidi="ar"/>
        </w:rPr>
        <w:t>6</w:t>
      </w:r>
      <w:r>
        <w:rPr>
          <w:rFonts w:hint="eastAsia"/>
          <w:lang w:bidi="ar"/>
        </w:rPr>
        <w:t>分，按评分标准得</w:t>
      </w:r>
      <w:r>
        <w:rPr>
          <w:lang w:bidi="ar"/>
        </w:rPr>
        <w:t>6</w:t>
      </w:r>
      <w:r>
        <w:rPr>
          <w:rFonts w:hint="eastAsia"/>
          <w:lang w:bidi="ar"/>
        </w:rPr>
        <w:t>分，得分率</w:t>
      </w:r>
      <w:r>
        <w:rPr>
          <w:lang w:bidi="ar"/>
        </w:rPr>
        <w:t>100</w:t>
      </w:r>
      <w:r>
        <w:rPr>
          <w:rFonts w:hint="eastAsia"/>
          <w:lang w:bidi="ar"/>
        </w:rPr>
        <w:t>%。</w:t>
      </w:r>
    </w:p>
    <w:p>
      <w:pPr>
        <w:ind w:firstLine="562"/>
        <w:rPr>
          <w:lang w:bidi="ar"/>
        </w:rPr>
      </w:pPr>
      <w:r>
        <w:rPr>
          <w:rFonts w:hint="eastAsia"/>
          <w:b/>
          <w:bCs/>
          <w:lang w:bidi="ar"/>
        </w:rPr>
        <w:t>生态效益指标：</w:t>
      </w:r>
      <w:r>
        <w:rPr>
          <w:rFonts w:hint="eastAsia"/>
          <w:lang w:bidi="ar"/>
        </w:rPr>
        <w:t>为推进长城、长征和黄河国家文化公园甘肃段建设，</w:t>
      </w:r>
      <w:r>
        <w:rPr>
          <w:lang w:bidi="ar"/>
        </w:rPr>
        <w:t>2021年实施甘肃省长城、长征和黄河国家文化公园风貌提升项目，</w:t>
      </w:r>
      <w:r>
        <w:rPr>
          <w:rFonts w:hint="eastAsia"/>
          <w:lang w:bidi="ar"/>
        </w:rPr>
        <w:t>不断推进了甘肃绿色生态产业发展。指标分值</w:t>
      </w:r>
      <w:r>
        <w:rPr>
          <w:lang w:bidi="ar"/>
        </w:rPr>
        <w:t>6</w:t>
      </w:r>
      <w:r>
        <w:rPr>
          <w:rFonts w:hint="eastAsia"/>
          <w:lang w:bidi="ar"/>
        </w:rPr>
        <w:t>分，按评分标准得</w:t>
      </w:r>
      <w:r>
        <w:rPr>
          <w:lang w:bidi="ar"/>
        </w:rPr>
        <w:t>6</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通过本专项资金的持续投入，项目为推动我省文化产业发展作出了不断努力，长期推动我省文化产业发展。可持续影响指标达到了目标值，指标分值6分，按评分标准得</w:t>
      </w:r>
      <w:r>
        <w:rPr>
          <w:szCs w:val="28"/>
        </w:rPr>
        <w:t>6</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满意度指标包括服务对象综合满意度</w:t>
      </w:r>
      <w:r>
        <w:rPr>
          <w:szCs w:val="28"/>
          <w:lang w:bidi="ar"/>
        </w:rPr>
        <w:t>1</w:t>
      </w:r>
      <w:r>
        <w:rPr>
          <w:rFonts w:hint="eastAsia"/>
          <w:szCs w:val="28"/>
          <w:lang w:bidi="ar"/>
        </w:rPr>
        <w:t>个三级指标，指标总分值10分，自评得分10分，得分率100%。指标分析如下：</w:t>
      </w:r>
    </w:p>
    <w:tbl>
      <w:tblPr>
        <w:tblStyle w:val="20"/>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1620"/>
        <w:gridCol w:w="1500"/>
        <w:gridCol w:w="825"/>
        <w:gridCol w:w="80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507"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620"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0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25" w:type="dxa"/>
            <w:vAlign w:val="center"/>
          </w:tcPr>
          <w:p>
            <w:pPr>
              <w:spacing w:line="240" w:lineRule="auto"/>
              <w:ind w:firstLine="0" w:firstLineChars="0"/>
              <w:jc w:val="center"/>
              <w:rPr>
                <w:b/>
                <w:bCs/>
                <w:sz w:val="24"/>
                <w:szCs w:val="24"/>
              </w:rPr>
            </w:pPr>
            <w:r>
              <w:rPr>
                <w:rFonts w:hint="eastAsia"/>
                <w:b/>
                <w:bCs/>
                <w:sz w:val="24"/>
                <w:szCs w:val="24"/>
              </w:rPr>
              <w:t>分值</w:t>
            </w:r>
          </w:p>
        </w:tc>
        <w:tc>
          <w:tcPr>
            <w:tcW w:w="806"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7" w:type="dxa"/>
            <w:vAlign w:val="center"/>
          </w:tcPr>
          <w:p>
            <w:pPr>
              <w:spacing w:line="240" w:lineRule="auto"/>
              <w:ind w:firstLine="0" w:firstLineChars="0"/>
              <w:rPr>
                <w:rFonts w:ascii="宋体" w:hAnsi="宋体"/>
                <w:color w:val="333333"/>
                <w:sz w:val="24"/>
                <w:szCs w:val="24"/>
              </w:rPr>
            </w:pPr>
            <w:r>
              <w:rPr>
                <w:rFonts w:hint="eastAsia"/>
                <w:color w:val="000000"/>
                <w:sz w:val="24"/>
                <w:szCs w:val="24"/>
              </w:rPr>
              <w:t>服务对象综合满意度</w:t>
            </w:r>
          </w:p>
        </w:tc>
        <w:tc>
          <w:tcPr>
            <w:tcW w:w="162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≥85%</w:t>
            </w:r>
          </w:p>
        </w:tc>
        <w:tc>
          <w:tcPr>
            <w:tcW w:w="150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25"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806"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7" w:type="dxa"/>
            <w:gridSpan w:val="3"/>
          </w:tcPr>
          <w:p>
            <w:pPr>
              <w:spacing w:line="240" w:lineRule="auto"/>
              <w:ind w:firstLine="0" w:firstLineChars="0"/>
              <w:jc w:val="center"/>
              <w:rPr>
                <w:b/>
                <w:bCs/>
                <w:sz w:val="24"/>
                <w:szCs w:val="24"/>
              </w:rPr>
            </w:pPr>
            <w:r>
              <w:rPr>
                <w:rFonts w:hint="eastAsia"/>
                <w:b/>
                <w:bCs/>
                <w:sz w:val="24"/>
                <w:szCs w:val="24"/>
              </w:rPr>
              <w:t>合计</w:t>
            </w:r>
          </w:p>
        </w:tc>
        <w:tc>
          <w:tcPr>
            <w:tcW w:w="825" w:type="dxa"/>
            <w:vAlign w:val="center"/>
          </w:tcPr>
          <w:p>
            <w:pPr>
              <w:spacing w:line="240" w:lineRule="auto"/>
              <w:ind w:firstLine="0" w:firstLineChars="0"/>
              <w:jc w:val="center"/>
              <w:rPr>
                <w:b/>
                <w:bCs/>
                <w:sz w:val="24"/>
                <w:szCs w:val="24"/>
              </w:rPr>
            </w:pPr>
            <w:r>
              <w:rPr>
                <w:rFonts w:hint="eastAsia"/>
                <w:b/>
                <w:bCs/>
                <w:sz w:val="24"/>
                <w:szCs w:val="24"/>
              </w:rPr>
              <w:t>10</w:t>
            </w:r>
          </w:p>
        </w:tc>
        <w:tc>
          <w:tcPr>
            <w:tcW w:w="806"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该项目的实施，广大群众对成果质量不断好评，服务对象综合满意度较高，</w:t>
      </w:r>
      <w:r>
        <w:rPr>
          <w:rFonts w:hint="eastAsia"/>
          <w:szCs w:val="21"/>
        </w:rPr>
        <w:t>项目实施期间</w:t>
      </w:r>
      <w:r>
        <w:rPr>
          <w:szCs w:val="21"/>
        </w:rPr>
        <w:t>未收到任何投诉意见，</w:t>
      </w:r>
      <w:r>
        <w:rPr>
          <w:rFonts w:hint="eastAsia"/>
          <w:szCs w:val="21"/>
        </w:rPr>
        <w:t>参观人员肯定了甘肃展馆和各文化公园的质量，该项指标达到了预期目标值。满意度指标分值10分，按评分标准得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pPr>
      <w:r>
        <w:rPr>
          <w:rFonts w:hint="eastAsia"/>
          <w:b/>
          <w:bCs/>
        </w:rPr>
        <w:t>甘肃展馆布展面积及甘肃展馆布展数量：</w:t>
      </w:r>
      <w:r>
        <w:rPr>
          <w:rFonts w:hint="eastAsia"/>
        </w:rPr>
        <w:t>按照举办方要求，分配至各省的主题展馆面积均在</w:t>
      </w:r>
      <w:r>
        <w:t>300平方米以内</w:t>
      </w:r>
      <w:r>
        <w:rPr>
          <w:rFonts w:hint="eastAsia"/>
        </w:rPr>
        <w:t>，甘肃展馆布展数量3个，因年度指标设置过高，导致扣分</w:t>
      </w:r>
      <w:r>
        <w:t>。</w:t>
      </w:r>
      <w:r>
        <w:rPr>
          <w:rFonts w:hint="eastAsia"/>
        </w:rPr>
        <w:t>下一年度将综合考虑各方面因素，科学、合理的设置年度指标值。</w:t>
      </w:r>
    </w:p>
    <w:p>
      <w:pPr>
        <w:pStyle w:val="3"/>
        <w:ind w:firstLine="643"/>
      </w:pPr>
      <w:bookmarkStart w:id="89" w:name="_Toc144"/>
      <w:bookmarkStart w:id="90" w:name="_Toc30884"/>
      <w:bookmarkStart w:id="91" w:name="_Toc15013"/>
      <w:bookmarkStart w:id="92" w:name="_Toc820"/>
      <w:r>
        <w:rPr>
          <w:rFonts w:hint="eastAsia"/>
        </w:rPr>
        <w:t>（十八）项目18－优秀图书、音像制品及电子出版物奖评选专项经费（一次性）</w:t>
      </w:r>
      <w:bookmarkEnd w:id="89"/>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优秀图书、音像制品及电子出版物奖评选专项经费（一次性）项目年初预算数</w:t>
      </w:r>
      <w:r>
        <w:rPr>
          <w:rFonts w:hint="eastAsia"/>
          <w:szCs w:val="28"/>
          <w:lang w:eastAsia="zh-CN"/>
        </w:rPr>
        <w:t>、</w:t>
      </w:r>
      <w:r>
        <w:rPr>
          <w:rFonts w:hint="eastAsia"/>
          <w:szCs w:val="28"/>
        </w:rPr>
        <w:t>全年预算数</w:t>
      </w:r>
      <w:r>
        <w:rPr>
          <w:rFonts w:hint="eastAsia"/>
          <w:szCs w:val="28"/>
          <w:lang w:eastAsia="zh-CN"/>
        </w:rPr>
        <w:t>均为</w:t>
      </w:r>
      <w:r>
        <w:rPr>
          <w:szCs w:val="28"/>
        </w:rPr>
        <w:t>60</w:t>
      </w:r>
      <w:r>
        <w:rPr>
          <w:rFonts w:hint="eastAsia"/>
          <w:szCs w:val="28"/>
        </w:rPr>
        <w:t>万元，全年支出数</w:t>
      </w:r>
      <w:r>
        <w:rPr>
          <w:szCs w:val="28"/>
        </w:rPr>
        <w:t>0</w:t>
      </w:r>
      <w:r>
        <w:rPr>
          <w:rFonts w:hint="eastAsia"/>
          <w:szCs w:val="28"/>
        </w:rPr>
        <w:t>万元，预算执行率</w:t>
      </w:r>
      <w:r>
        <w:rPr>
          <w:szCs w:val="28"/>
        </w:rPr>
        <w:t>0%</w:t>
      </w:r>
      <w:r>
        <w:rPr>
          <w:rFonts w:hint="eastAsia"/>
          <w:szCs w:val="28"/>
        </w:rPr>
        <w:t>，指标分值10分，按评分标准得</w:t>
      </w:r>
      <w:r>
        <w:rPr>
          <w:szCs w:val="28"/>
        </w:rPr>
        <w:t>0</w:t>
      </w:r>
      <w:r>
        <w:rPr>
          <w:rFonts w:hint="eastAsia"/>
          <w:szCs w:val="28"/>
        </w:rPr>
        <w:t>分，得分率</w:t>
      </w:r>
      <w:r>
        <w:rPr>
          <w:szCs w:val="28"/>
        </w:rPr>
        <w:t>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88.42</w:t>
      </w:r>
      <w:r>
        <w:rPr>
          <w:rFonts w:hint="eastAsia"/>
          <w:szCs w:val="28"/>
        </w:rPr>
        <w:t>分，自评结果为“良”。主要任务完成情况分析如下：</w:t>
      </w:r>
    </w:p>
    <w:p>
      <w:pPr>
        <w:ind w:firstLine="562"/>
        <w:rPr>
          <w:szCs w:val="28"/>
        </w:rPr>
      </w:pPr>
      <w:r>
        <w:rPr>
          <w:rFonts w:hint="eastAsia"/>
          <w:b/>
          <w:bCs/>
          <w:szCs w:val="28"/>
        </w:rPr>
        <w:t>预期目标：</w:t>
      </w:r>
      <w:r>
        <w:rPr>
          <w:rFonts w:hint="eastAsia"/>
          <w:szCs w:val="28"/>
        </w:rPr>
        <w:t>通过评奖活动，对优秀甘版图书和相关个人进行奖励，促进我省出版业高质量发展。</w:t>
      </w:r>
    </w:p>
    <w:p>
      <w:pPr>
        <w:ind w:firstLine="562"/>
        <w:rPr>
          <w:szCs w:val="28"/>
        </w:rPr>
      </w:pPr>
      <w:r>
        <w:rPr>
          <w:rFonts w:hint="eastAsia"/>
          <w:b/>
          <w:bCs/>
          <w:szCs w:val="28"/>
        </w:rPr>
        <w:t>实际完成情况：</w:t>
      </w:r>
      <w:r>
        <w:rPr>
          <w:rFonts w:hint="eastAsia"/>
          <w:szCs w:val="28"/>
        </w:rPr>
        <w:t>根据《甘肃省优秀图书、音像制品及电子出版物奖评奖办法》（甘政办发〔</w:t>
      </w:r>
      <w:r>
        <w:rPr>
          <w:szCs w:val="28"/>
        </w:rPr>
        <w:t>2014〕132号）和《甘肃省评比达标表彰活动管理实施细则》，于2021年组织了第十三届省优奖的评选表彰活动，如期评选出61种出版物和20名优秀编辑，完成了既定目标任务。</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产出指标包括数量指标、质量指标和时效指标3个二级指标，</w:t>
      </w:r>
      <w:r>
        <w:rPr>
          <w:szCs w:val="28"/>
          <w:lang w:bidi="ar"/>
        </w:rPr>
        <w:t>13</w:t>
      </w:r>
      <w:r>
        <w:rPr>
          <w:rFonts w:hint="eastAsia"/>
          <w:szCs w:val="28"/>
          <w:lang w:bidi="ar"/>
        </w:rPr>
        <w:t>个三级指标，指标总分值50分，自评得分</w:t>
      </w:r>
      <w:r>
        <w:rPr>
          <w:szCs w:val="28"/>
          <w:lang w:bidi="ar"/>
        </w:rPr>
        <w:t>48.42</w:t>
      </w:r>
      <w:r>
        <w:rPr>
          <w:rFonts w:hint="eastAsia"/>
          <w:szCs w:val="28"/>
          <w:lang w:bidi="ar"/>
        </w:rPr>
        <w:t>分，得分率</w:t>
      </w:r>
      <w:r>
        <w:rPr>
          <w:szCs w:val="28"/>
          <w:lang w:bidi="ar"/>
        </w:rPr>
        <w:t>96.84</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992"/>
        <w:gridCol w:w="992"/>
        <w:gridCol w:w="567"/>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“五个一工程”奖获奖数量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highlight w:val="yellow"/>
              </w:rPr>
            </w:pPr>
            <w:r>
              <w:rPr>
                <w:rFonts w:hint="eastAsia"/>
                <w:color w:val="000000"/>
                <w:sz w:val="24"/>
                <w:szCs w:val="24"/>
              </w:rPr>
              <w:t>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甘肃省出版物装帧设计奖获奖数量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highlight w:val="yellow"/>
              </w:rPr>
            </w:pPr>
            <w:r>
              <w:rPr>
                <w:rFonts w:hint="eastAsia"/>
                <w:color w:val="000000"/>
                <w:sz w:val="24"/>
                <w:szCs w:val="24"/>
              </w:rPr>
              <w:t>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甘肃省优秀出版专业论文奖数量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highlight w:val="yellow"/>
              </w:rPr>
            </w:pPr>
            <w:r>
              <w:rPr>
                <w:rFonts w:hint="eastAsia"/>
                <w:color w:val="000000"/>
                <w:sz w:val="24"/>
                <w:szCs w:val="24"/>
              </w:rPr>
              <w:t>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甘肃省优秀图书、音像制品及电子出版物奖获奖数量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≥40个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81个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甘肃省优秀图书编辑奖获奖数量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20个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0.81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中国出版政府奖获奖数量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0.81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中华优秀出版物奖获奖数量</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1个</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受奖励项目政策符合度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受奖励项目质检合格率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受奖励项目综合价值认可度</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申报评审及时性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下发通知及时性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rPr>
                <w:sz w:val="24"/>
                <w:szCs w:val="24"/>
              </w:rPr>
            </w:pPr>
            <w:r>
              <w:rPr>
                <w:rFonts w:hint="eastAsia"/>
                <w:color w:val="000000"/>
                <w:sz w:val="24"/>
                <w:szCs w:val="24"/>
              </w:rPr>
              <w:t>组织实施及时性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1"/>
                <w:szCs w:val="21"/>
              </w:rPr>
              <w:t>100%</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48.42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96.84</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根据《中共甘肃省委宣传部</w:t>
      </w:r>
      <w:r>
        <w:rPr>
          <w:szCs w:val="28"/>
          <w:lang w:bidi="ar"/>
        </w:rPr>
        <w:t xml:space="preserve"> 甘肃省人力资源和社会保障厅关于开展第十三届甘肃省优秀图书、期刊、音像制品及电子出版物奖评选表彰的通知》（甘人社通〔2021〕453号）要求，经各出版单位申报、专家评审、省优秀图书、期刊、音像制品及电子出版物奖评选表彰工作领导小组办公室综合评审后，报经省优秀图书、期刊、音像制品及电子出版物奖评选表彰工作领导小组审议，评选出图书、音像制品及电子出版物奖81种，优秀期刊奖21种，优秀编辑奖20名</w:t>
      </w:r>
      <w:r>
        <w:rPr>
          <w:rFonts w:hint="eastAsia"/>
          <w:szCs w:val="28"/>
          <w:lang w:bidi="ar"/>
        </w:rPr>
        <w:t>，达到目标值。评奖周期内，我省图书、音像及电子出版单位共获得</w:t>
      </w:r>
      <w:r>
        <w:rPr>
          <w:szCs w:val="28"/>
          <w:lang w:bidi="ar"/>
        </w:rPr>
        <w:t>2项中国出版政府奖和1项中华优秀出版物奖</w:t>
      </w:r>
      <w:r>
        <w:rPr>
          <w:rFonts w:hint="eastAsia"/>
          <w:szCs w:val="28"/>
          <w:lang w:bidi="ar"/>
        </w:rPr>
        <w:t>，达到了目标值。但“五个一工程”奖未获奖，甘肃省出版物装帧设计奖和优秀出版专业论文奖今年未评选，实际完成值均为0。分值合计</w:t>
      </w:r>
      <w:r>
        <w:rPr>
          <w:szCs w:val="28"/>
          <w:lang w:bidi="ar"/>
        </w:rPr>
        <w:t>7</w:t>
      </w:r>
      <w:r>
        <w:rPr>
          <w:rFonts w:hint="eastAsia"/>
          <w:szCs w:val="28"/>
          <w:lang w:bidi="ar"/>
        </w:rPr>
        <w:t>分，按评分标准得</w:t>
      </w:r>
      <w:r>
        <w:rPr>
          <w:szCs w:val="28"/>
          <w:lang w:bidi="ar"/>
        </w:rPr>
        <w:t>5.42</w:t>
      </w:r>
      <w:r>
        <w:rPr>
          <w:rFonts w:hint="eastAsia"/>
          <w:szCs w:val="28"/>
          <w:lang w:bidi="ar"/>
        </w:rPr>
        <w:t>分，得分率</w:t>
      </w:r>
      <w:r>
        <w:rPr>
          <w:szCs w:val="28"/>
          <w:lang w:bidi="ar"/>
        </w:rPr>
        <w:t>77.43</w:t>
      </w:r>
      <w:r>
        <w:rPr>
          <w:rFonts w:hint="eastAsia"/>
          <w:szCs w:val="28"/>
          <w:lang w:bidi="ar"/>
        </w:rPr>
        <w:t>%。</w:t>
      </w:r>
    </w:p>
    <w:p>
      <w:pPr>
        <w:ind w:firstLine="562"/>
        <w:rPr>
          <w:szCs w:val="28"/>
        </w:rPr>
      </w:pPr>
      <w:r>
        <w:rPr>
          <w:rFonts w:hint="eastAsia"/>
          <w:b/>
          <w:bCs/>
          <w:szCs w:val="28"/>
        </w:rPr>
        <w:t>质量指标：</w:t>
      </w:r>
      <w:r>
        <w:rPr>
          <w:rFonts w:hint="eastAsia"/>
          <w:szCs w:val="28"/>
        </w:rPr>
        <w:t>所评选的出版物均符合相关要求，不存在导向问题，所评选的编辑均征求了组织、纪检监察、公安部门的意见，政治合格，无违规违纪问题，受奖励项目政策符合度、质检合格率、综合价值认可度均达到目标值。指标分值合计</w:t>
      </w:r>
      <w:r>
        <w:rPr>
          <w:szCs w:val="28"/>
        </w:rPr>
        <w:t>25</w:t>
      </w:r>
      <w:r>
        <w:rPr>
          <w:rFonts w:hint="eastAsia"/>
          <w:szCs w:val="28"/>
        </w:rPr>
        <w:t>分，按评分标准得</w:t>
      </w:r>
      <w:r>
        <w:rPr>
          <w:szCs w:val="28"/>
        </w:rPr>
        <w:t>25</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第十三届甘肃省优秀图书、期刊、音像制品及电子出版物奖组织实施、申报评审、下发通知均完成及时，达到了目标值。指标分值合计</w:t>
      </w:r>
      <w:r>
        <w:rPr>
          <w:szCs w:val="28"/>
        </w:rPr>
        <w:t>18</w:t>
      </w:r>
      <w:r>
        <w:rPr>
          <w:rFonts w:hint="eastAsia"/>
          <w:szCs w:val="28"/>
        </w:rPr>
        <w:t>分，按评分标准得</w:t>
      </w:r>
      <w:r>
        <w:rPr>
          <w:szCs w:val="28"/>
        </w:rPr>
        <w:t>18</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2</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主流媒体舆论引导力</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文化行业影响力</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十三届省优评奖社会效益明显，显著提升了出版单位的精品意识，提高了甘肃出版的知名度和美誉度，为主流媒体舆论引导力的提升打下了坚实的基础。社会效益指标均达到目标值。指标分值</w:t>
      </w:r>
      <w:r>
        <w:rPr>
          <w:szCs w:val="28"/>
          <w:lang w:bidi="ar"/>
        </w:rPr>
        <w:t>15</w:t>
      </w:r>
      <w:r>
        <w:rPr>
          <w:rFonts w:hint="eastAsia"/>
          <w:szCs w:val="28"/>
          <w:lang w:bidi="ar"/>
        </w:rPr>
        <w:t>分，按评分标准得</w:t>
      </w:r>
      <w:r>
        <w:rPr>
          <w:szCs w:val="28"/>
          <w:lang w:bidi="ar"/>
        </w:rPr>
        <w:t>15</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十三届省优评奖为甘版精品图书、期刊的出版提供了良好示范，不断提升了我省文化行业的影响力</w:t>
      </w:r>
      <w:r>
        <w:rPr>
          <w:szCs w:val="28"/>
        </w:rPr>
        <w:t>。</w:t>
      </w:r>
      <w:r>
        <w:rPr>
          <w:rFonts w:hint="eastAsia"/>
          <w:szCs w:val="28"/>
        </w:rPr>
        <w:t>可持续影响指标达到了目标值，指标分值</w:t>
      </w:r>
      <w:r>
        <w:rPr>
          <w:szCs w:val="28"/>
        </w:rPr>
        <w:t>15</w:t>
      </w:r>
      <w:r>
        <w:rPr>
          <w:rFonts w:hint="eastAsia"/>
          <w:szCs w:val="28"/>
        </w:rPr>
        <w:t>分，按评分标准得</w:t>
      </w:r>
      <w:r>
        <w:rPr>
          <w:szCs w:val="28"/>
        </w:rPr>
        <w:t>15</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满意度指标包括出版领域从业人员满意度和群众满意度</w:t>
      </w:r>
      <w:r>
        <w:rPr>
          <w:szCs w:val="28"/>
          <w:lang w:bidi="ar"/>
        </w:rPr>
        <w:t>2</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992"/>
        <w:gridCol w:w="1134"/>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864"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992"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4"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出版领域从业人员满意度</w:t>
            </w:r>
          </w:p>
        </w:tc>
        <w:tc>
          <w:tcPr>
            <w:tcW w:w="992"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≥80%</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64" w:type="dxa"/>
            <w:vAlign w:val="center"/>
          </w:tcPr>
          <w:p>
            <w:pPr>
              <w:spacing w:line="240" w:lineRule="auto"/>
              <w:ind w:firstLine="0" w:firstLineChars="0"/>
              <w:rPr>
                <w:color w:val="000000"/>
                <w:sz w:val="24"/>
                <w:szCs w:val="24"/>
              </w:rPr>
            </w:pPr>
            <w:r>
              <w:rPr>
                <w:rFonts w:hint="eastAsia"/>
                <w:color w:val="000000"/>
                <w:sz w:val="24"/>
                <w:szCs w:val="24"/>
              </w:rPr>
              <w:t>群众满意度</w:t>
            </w:r>
          </w:p>
        </w:tc>
        <w:tc>
          <w:tcPr>
            <w:tcW w:w="992" w:type="dxa"/>
            <w:vAlign w:val="center"/>
          </w:tcPr>
          <w:p>
            <w:pPr>
              <w:spacing w:line="240" w:lineRule="auto"/>
              <w:ind w:firstLine="0" w:firstLineChars="0"/>
              <w:jc w:val="center"/>
              <w:rPr>
                <w:color w:val="000000"/>
                <w:sz w:val="24"/>
                <w:szCs w:val="24"/>
              </w:rPr>
            </w:pPr>
            <w:r>
              <w:rPr>
                <w:rFonts w:hint="eastAsia"/>
                <w:color w:val="000000"/>
                <w:sz w:val="24"/>
                <w:szCs w:val="24"/>
              </w:rPr>
              <w:t>≥80%</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省委宣传部联合省人社厅对评奖结果进行了</w:t>
      </w:r>
      <w:r>
        <w:rPr>
          <w:rFonts w:cs="仿宋_GB2312"/>
          <w:color w:val="333333"/>
          <w:szCs w:val="28"/>
        </w:rPr>
        <w:t>5个工作日的公示，公示期间未收到任何投诉意见</w:t>
      </w:r>
      <w:r>
        <w:rPr>
          <w:rFonts w:hint="eastAsia" w:cs="仿宋_GB2312"/>
          <w:color w:val="333333"/>
          <w:szCs w:val="28"/>
        </w:rPr>
        <w:t>，出版领域从业人员肯定了获得奖项的作品的质量，出版领域从业人员满意度为</w:t>
      </w:r>
      <w:r>
        <w:rPr>
          <w:rFonts w:cs="仿宋_GB2312"/>
          <w:color w:val="333333"/>
          <w:szCs w:val="28"/>
        </w:rPr>
        <w:t>100%</w:t>
      </w:r>
      <w:r>
        <w:rPr>
          <w:rFonts w:hint="eastAsia"/>
          <w:szCs w:val="21"/>
        </w:rPr>
        <w:t>，群众满意度9</w:t>
      </w:r>
      <w:r>
        <w:rPr>
          <w:szCs w:val="21"/>
        </w:rPr>
        <w:t>5</w:t>
      </w:r>
      <w:r>
        <w:rPr>
          <w:rFonts w:hint="eastAsia"/>
          <w:szCs w:val="21"/>
        </w:rPr>
        <w:t>%，均达到了预期目标值。满意度指标分值10分，按评分标准得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b/>
          <w:bCs/>
        </w:rPr>
      </w:pPr>
      <w:r>
        <w:rPr>
          <w:rFonts w:hint="eastAsia"/>
          <w:b/>
          <w:bCs/>
        </w:rPr>
        <w:t>（1）“五个一工程”奖获奖数量</w:t>
      </w:r>
    </w:p>
    <w:p>
      <w:pPr>
        <w:ind w:firstLine="560"/>
      </w:pPr>
      <w:r>
        <w:rPr>
          <w:rFonts w:hint="eastAsia"/>
        </w:rPr>
        <w:t>本年未获得奖项。下一步我部将加强对重点创作生产项目的对接和管理，提高我省参评中宣部“五个一工程”奖项目作品的质量和获奖率，扭转我省文艺作品有“高原”缺“高峰”的现象。</w:t>
      </w:r>
    </w:p>
    <w:p>
      <w:pPr>
        <w:numPr>
          <w:ilvl w:val="255"/>
          <w:numId w:val="0"/>
        </w:numPr>
        <w:ind w:firstLine="562"/>
        <w:rPr>
          <w:b/>
          <w:bCs/>
        </w:rPr>
      </w:pPr>
      <w:r>
        <w:rPr>
          <w:rFonts w:hint="eastAsia"/>
          <w:b/>
          <w:bCs/>
        </w:rPr>
        <w:t>（2）甘肃省出版物装帧设计奖获奖数量及甘肃省优秀出版专业论文奖数量</w:t>
      </w:r>
    </w:p>
    <w:p>
      <w:pPr>
        <w:numPr>
          <w:ilvl w:val="255"/>
          <w:numId w:val="0"/>
        </w:numPr>
        <w:ind w:firstLine="560"/>
      </w:pPr>
      <w:r>
        <w:rPr>
          <w:rFonts w:hint="eastAsia"/>
        </w:rPr>
        <w:t>由于本年未评选导致偏差。下一步我部将加快实施奖项的评选工作，保质保量的完成奖项评选任务。</w:t>
      </w:r>
    </w:p>
    <w:p>
      <w:pPr>
        <w:numPr>
          <w:ilvl w:val="255"/>
          <w:numId w:val="0"/>
        </w:numPr>
        <w:ind w:firstLine="560"/>
        <w:rPr>
          <w:b/>
          <w:bCs/>
        </w:rPr>
      </w:pPr>
      <w:r>
        <w:rPr>
          <w:rFonts w:hint="eastAsia"/>
          <w:b/>
          <w:bCs/>
        </w:rPr>
        <w:t>（3）预算执行率</w:t>
      </w:r>
    </w:p>
    <w:p>
      <w:pPr>
        <w:numPr>
          <w:ilvl w:val="255"/>
          <w:numId w:val="0"/>
        </w:numPr>
        <w:ind w:firstLine="560"/>
      </w:pPr>
      <w:r>
        <w:rPr>
          <w:rFonts w:hint="eastAsia"/>
        </w:rPr>
        <w:t>优秀图书、音像制品及电子出版物奖评选专项经费</w:t>
      </w:r>
      <w:r>
        <w:rPr>
          <w:rFonts w:hint="eastAsia"/>
          <w:lang w:eastAsia="zh-CN"/>
        </w:rPr>
        <w:t>项目预算执行率为</w:t>
      </w:r>
      <w:r>
        <w:rPr>
          <w:rFonts w:hint="eastAsia"/>
          <w:lang w:val="en-US" w:eastAsia="zh-CN"/>
        </w:rPr>
        <w:t>0%，</w:t>
      </w:r>
      <w:r>
        <w:rPr>
          <w:rFonts w:hint="eastAsia"/>
          <w:lang w:eastAsia="zh-CN"/>
        </w:rPr>
        <w:t>由于</w:t>
      </w:r>
      <w:r>
        <w:rPr>
          <w:rFonts w:hint="eastAsia"/>
        </w:rPr>
        <w:t>因受疫情影响，第十三届省优奖评选于12月底前完成，影响了奖金的正常发放，今后要继续做好统筹，做到早计划、早实施，尽可能减少其他客观原因对工作进程造成的影响，提高预算执行率。</w:t>
      </w:r>
    </w:p>
    <w:p>
      <w:pPr>
        <w:pStyle w:val="3"/>
        <w:ind w:firstLine="643"/>
      </w:pPr>
      <w:bookmarkStart w:id="93" w:name="_Toc16163"/>
      <w:r>
        <w:rPr>
          <w:rFonts w:hint="eastAsia"/>
        </w:rPr>
        <w:t>（十九）项目19－</w:t>
      </w:r>
      <w:bookmarkEnd w:id="90"/>
      <w:bookmarkEnd w:id="91"/>
      <w:bookmarkEnd w:id="92"/>
      <w:r>
        <w:rPr>
          <w:rFonts w:hint="eastAsia"/>
        </w:rPr>
        <w:t>敦煌文艺奖评选经费（一次性）</w:t>
      </w:r>
      <w:bookmarkEnd w:id="93"/>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敦煌文艺奖评选经费（一次性）项目年初预算数</w:t>
      </w:r>
      <w:r>
        <w:rPr>
          <w:rFonts w:hint="eastAsia"/>
          <w:szCs w:val="28"/>
          <w:lang w:eastAsia="zh-CN"/>
        </w:rPr>
        <w:t>、</w:t>
      </w:r>
      <w:r>
        <w:rPr>
          <w:rFonts w:hint="eastAsia"/>
          <w:szCs w:val="28"/>
        </w:rPr>
        <w:t>全年预算</w:t>
      </w:r>
      <w:r>
        <w:rPr>
          <w:rFonts w:hint="eastAsia"/>
          <w:szCs w:val="28"/>
          <w:lang w:eastAsia="zh-CN"/>
        </w:rPr>
        <w:t>均为</w:t>
      </w:r>
      <w:r>
        <w:rPr>
          <w:rFonts w:hint="eastAsia"/>
          <w:szCs w:val="28"/>
        </w:rPr>
        <w:t>2</w:t>
      </w:r>
      <w:r>
        <w:rPr>
          <w:szCs w:val="28"/>
        </w:rPr>
        <w:t>00</w:t>
      </w:r>
      <w:r>
        <w:rPr>
          <w:rFonts w:hint="eastAsia"/>
          <w:szCs w:val="28"/>
        </w:rPr>
        <w:t>万元，全年支出数</w:t>
      </w:r>
      <w:r>
        <w:rPr>
          <w:szCs w:val="28"/>
        </w:rPr>
        <w:t>14.91</w:t>
      </w:r>
      <w:r>
        <w:rPr>
          <w:rFonts w:hint="eastAsia"/>
          <w:szCs w:val="28"/>
        </w:rPr>
        <w:t>万元，预算执行率</w:t>
      </w:r>
      <w:r>
        <w:rPr>
          <w:szCs w:val="28"/>
        </w:rPr>
        <w:t>7.46%</w:t>
      </w:r>
      <w:r>
        <w:rPr>
          <w:rFonts w:hint="eastAsia"/>
          <w:szCs w:val="28"/>
        </w:rPr>
        <w:t>，指标分值10分，按评分标准得</w:t>
      </w:r>
      <w:r>
        <w:rPr>
          <w:szCs w:val="28"/>
        </w:rPr>
        <w:t>0.75</w:t>
      </w:r>
      <w:r>
        <w:rPr>
          <w:rFonts w:hint="eastAsia"/>
          <w:szCs w:val="28"/>
        </w:rPr>
        <w:t>分，得分率</w:t>
      </w:r>
      <w:r>
        <w:rPr>
          <w:szCs w:val="28"/>
        </w:rPr>
        <w:t>7.</w:t>
      </w:r>
      <w:r>
        <w:rPr>
          <w:rFonts w:hint="eastAsia"/>
          <w:szCs w:val="28"/>
          <w:lang w:val="en-US" w:eastAsia="zh-CN"/>
        </w:rPr>
        <w:t>5</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86.2</w:t>
      </w:r>
      <w:r>
        <w:rPr>
          <w:rFonts w:hint="eastAsia"/>
          <w:szCs w:val="28"/>
        </w:rPr>
        <w:t>分，自评结果为“良”。主要任务完成情况分析如下：</w:t>
      </w:r>
    </w:p>
    <w:p>
      <w:pPr>
        <w:ind w:firstLine="562"/>
        <w:rPr>
          <w:szCs w:val="28"/>
        </w:rPr>
      </w:pPr>
      <w:r>
        <w:rPr>
          <w:rFonts w:hint="eastAsia"/>
          <w:b/>
          <w:bCs/>
          <w:szCs w:val="28"/>
        </w:rPr>
        <w:t>预期目标：</w:t>
      </w:r>
      <w:r>
        <w:rPr>
          <w:rFonts w:hint="eastAsia"/>
          <w:szCs w:val="28"/>
        </w:rPr>
        <w:t>评选出</w:t>
      </w:r>
      <w:r>
        <w:rPr>
          <w:szCs w:val="28"/>
        </w:rPr>
        <w:t>90项优秀作品，予以表彰奖励，并对评选规定年限内获全国性文艺奖励的作品和个人予以奖励。</w:t>
      </w:r>
    </w:p>
    <w:p>
      <w:pPr>
        <w:ind w:firstLine="562"/>
        <w:rPr>
          <w:rFonts w:hAnsi="宋体"/>
          <w:szCs w:val="28"/>
        </w:rPr>
      </w:pPr>
      <w:r>
        <w:rPr>
          <w:rFonts w:hint="eastAsia"/>
          <w:b/>
          <w:bCs/>
          <w:szCs w:val="28"/>
        </w:rPr>
        <w:t>实际完成情况：</w:t>
      </w:r>
      <w:r>
        <w:rPr>
          <w:rFonts w:hint="eastAsia"/>
          <w:szCs w:val="28"/>
        </w:rPr>
        <w:t>根据《甘肃省敦煌文艺奖评奖办法》的规定，敦煌文艺奖设电影类、广播电视类、文学类、戏剧类、音乐舞蹈类、曲艺杂技类、美术类</w:t>
      </w:r>
      <w:r>
        <w:rPr>
          <w:szCs w:val="28"/>
        </w:rPr>
        <w:t>7个艺术类别，本届共评选出获奖作品94项，其中特别奖6项、荣誉奖2项、作品奖86项。</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pPr>
      <w:r>
        <w:rPr>
          <w:rFonts w:hint="eastAsia"/>
          <w:b/>
          <w:bCs/>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14</w:t>
      </w:r>
      <w:r>
        <w:rPr>
          <w:rFonts w:hint="eastAsia"/>
          <w:szCs w:val="28"/>
          <w:lang w:bidi="ar"/>
        </w:rPr>
        <w:t>个三级指标，指标总分值50分，自评得分</w:t>
      </w:r>
      <w:r>
        <w:rPr>
          <w:szCs w:val="28"/>
          <w:lang w:bidi="ar"/>
        </w:rPr>
        <w:t>45.45</w:t>
      </w:r>
      <w:r>
        <w:rPr>
          <w:rFonts w:hint="eastAsia"/>
          <w:szCs w:val="28"/>
          <w:lang w:bidi="ar"/>
        </w:rPr>
        <w:t>分，得分率</w:t>
      </w:r>
      <w:r>
        <w:rPr>
          <w:szCs w:val="28"/>
          <w:lang w:bidi="ar"/>
        </w:rPr>
        <w:t>90.9</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7"/>
        <w:gridCol w:w="1365"/>
        <w:gridCol w:w="1395"/>
        <w:gridCol w:w="760"/>
        <w:gridCol w:w="82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电影类奖项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=13个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0.77</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广播电视类奖项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=14个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美术类奖项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21个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1.95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曲艺杂技类奖项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2.4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荣誉奖</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文学类奖项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17个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戏剧类奖项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=15个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1.33</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音乐舞蹈类奖项</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=13个</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13个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奖励资金足额及时发放率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征集作品覆盖率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表彰奖励及时率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评选及时率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通知下发及时率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成本控制率</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≥95%</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2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w:t>
            </w:r>
            <w:r>
              <w:rPr>
                <w:rFonts w:hAnsi="等线"/>
                <w:b/>
                <w:bCs/>
                <w:sz w:val="24"/>
                <w:szCs w:val="24"/>
              </w:rPr>
              <w:t>5.45</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w:t>
            </w:r>
            <w:r>
              <w:rPr>
                <w:rFonts w:hAnsi="等线"/>
                <w:b/>
                <w:bCs/>
                <w:sz w:val="24"/>
                <w:szCs w:val="24"/>
              </w:rPr>
              <w:t>0.9</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根据《甘肃省敦煌文艺奖评奖办法》的规定，敦煌文艺奖设电影类、广播电视类、文学类、戏剧类、音乐舞蹈类、曲艺杂技类、美术类</w:t>
      </w:r>
      <w:r>
        <w:rPr>
          <w:szCs w:val="28"/>
          <w:lang w:bidi="ar"/>
        </w:rPr>
        <w:t>7个艺术类别，</w:t>
      </w:r>
      <w:r>
        <w:rPr>
          <w:rFonts w:hint="eastAsia"/>
          <w:szCs w:val="28"/>
          <w:lang w:bidi="ar"/>
        </w:rPr>
        <w:t>其中符合电影类奖项的有</w:t>
      </w:r>
      <w:r>
        <w:rPr>
          <w:szCs w:val="28"/>
          <w:lang w:bidi="ar"/>
        </w:rPr>
        <w:t>5个</w:t>
      </w:r>
      <w:r>
        <w:rPr>
          <w:rFonts w:hint="eastAsia"/>
          <w:szCs w:val="28"/>
          <w:lang w:bidi="ar"/>
        </w:rPr>
        <w:t>，符合广播电视类奖项的有</w:t>
      </w:r>
      <w:r>
        <w:rPr>
          <w:szCs w:val="28"/>
          <w:lang w:bidi="ar"/>
        </w:rPr>
        <w:t>16个</w:t>
      </w:r>
      <w:r>
        <w:rPr>
          <w:rFonts w:hint="eastAsia"/>
          <w:szCs w:val="28"/>
          <w:lang w:bidi="ar"/>
        </w:rPr>
        <w:t>，符合美术类奖项的有</w:t>
      </w:r>
      <w:r>
        <w:rPr>
          <w:szCs w:val="28"/>
          <w:lang w:bidi="ar"/>
        </w:rPr>
        <w:t>21个</w:t>
      </w:r>
      <w:r>
        <w:rPr>
          <w:rFonts w:hint="eastAsia"/>
          <w:szCs w:val="28"/>
          <w:lang w:bidi="ar"/>
        </w:rPr>
        <w:t>，符合曲艺杂谈类奖项的有</w:t>
      </w:r>
      <w:r>
        <w:rPr>
          <w:szCs w:val="28"/>
          <w:lang w:bidi="ar"/>
        </w:rPr>
        <w:t>4个</w:t>
      </w:r>
      <w:r>
        <w:rPr>
          <w:rFonts w:hint="eastAsia"/>
          <w:szCs w:val="28"/>
          <w:lang w:bidi="ar"/>
        </w:rPr>
        <w:t>，符合荣誉类奖项的有</w:t>
      </w:r>
      <w:r>
        <w:rPr>
          <w:szCs w:val="28"/>
          <w:lang w:bidi="ar"/>
        </w:rPr>
        <w:t>5个</w:t>
      </w:r>
      <w:r>
        <w:rPr>
          <w:rFonts w:hint="eastAsia"/>
          <w:szCs w:val="28"/>
          <w:lang w:bidi="ar"/>
        </w:rPr>
        <w:t>，符合文学类奖项的有</w:t>
      </w:r>
      <w:r>
        <w:rPr>
          <w:szCs w:val="28"/>
          <w:lang w:bidi="ar"/>
        </w:rPr>
        <w:t>17个</w:t>
      </w:r>
      <w:r>
        <w:rPr>
          <w:rFonts w:hint="eastAsia"/>
          <w:szCs w:val="28"/>
          <w:lang w:bidi="ar"/>
        </w:rPr>
        <w:t>，符合戏剧类奖项的有</w:t>
      </w:r>
      <w:r>
        <w:rPr>
          <w:szCs w:val="28"/>
          <w:lang w:bidi="ar"/>
        </w:rPr>
        <w:t>10个</w:t>
      </w:r>
      <w:r>
        <w:rPr>
          <w:rFonts w:hint="eastAsia"/>
          <w:szCs w:val="28"/>
          <w:lang w:bidi="ar"/>
        </w:rPr>
        <w:t>，符合音乐舞蹈类奖项的有</w:t>
      </w:r>
      <w:r>
        <w:rPr>
          <w:szCs w:val="28"/>
          <w:lang w:bidi="ar"/>
        </w:rPr>
        <w:t>13个</w:t>
      </w:r>
      <w:r>
        <w:rPr>
          <w:rFonts w:hint="eastAsia"/>
          <w:szCs w:val="28"/>
          <w:lang w:bidi="ar"/>
        </w:rPr>
        <w:t>。部分数量指标未达到目标值是因为根据申报作品的数量和质量将获奖名额进行了调整，并且经评选工作领导小组组长、副组长同意，增设特别奖</w:t>
      </w:r>
      <w:r>
        <w:rPr>
          <w:szCs w:val="28"/>
          <w:lang w:bidi="ar"/>
        </w:rPr>
        <w:t>6部</w:t>
      </w:r>
      <w:r>
        <w:rPr>
          <w:rFonts w:hint="eastAsia"/>
          <w:szCs w:val="28"/>
          <w:lang w:bidi="ar"/>
        </w:rPr>
        <w:t>。指标分值合计</w:t>
      </w:r>
      <w:r>
        <w:rPr>
          <w:szCs w:val="28"/>
          <w:lang w:bidi="ar"/>
        </w:rPr>
        <w:t>25</w:t>
      </w:r>
      <w:r>
        <w:rPr>
          <w:rFonts w:hint="eastAsia"/>
          <w:szCs w:val="28"/>
          <w:lang w:bidi="ar"/>
        </w:rPr>
        <w:t>分，按评分标准得</w:t>
      </w:r>
      <w:r>
        <w:rPr>
          <w:szCs w:val="28"/>
          <w:lang w:bidi="ar"/>
        </w:rPr>
        <w:t>22.45</w:t>
      </w:r>
      <w:r>
        <w:rPr>
          <w:rFonts w:hint="eastAsia"/>
          <w:szCs w:val="28"/>
          <w:lang w:bidi="ar"/>
        </w:rPr>
        <w:t>分，得分率</w:t>
      </w:r>
      <w:r>
        <w:rPr>
          <w:szCs w:val="28"/>
          <w:lang w:bidi="ar"/>
        </w:rPr>
        <w:t>89.8</w:t>
      </w:r>
      <w:r>
        <w:rPr>
          <w:rFonts w:hint="eastAsia"/>
          <w:szCs w:val="28"/>
          <w:lang w:bidi="ar"/>
        </w:rPr>
        <w:t>%。</w:t>
      </w:r>
    </w:p>
    <w:p>
      <w:pPr>
        <w:ind w:firstLine="562"/>
        <w:rPr>
          <w:szCs w:val="28"/>
        </w:rPr>
      </w:pPr>
      <w:r>
        <w:rPr>
          <w:rFonts w:hint="eastAsia"/>
          <w:b/>
          <w:bCs/>
          <w:szCs w:val="28"/>
        </w:rPr>
        <w:t>质量指标：</w:t>
      </w:r>
      <w:r>
        <w:rPr>
          <w:rFonts w:hint="eastAsia"/>
          <w:szCs w:val="28"/>
        </w:rPr>
        <w:t>2021年我部奖励资金足额及时发放率实际完成值为0%，未达到目标值；该奖项征集作品覆盖率达到1</w:t>
      </w:r>
      <w:r>
        <w:rPr>
          <w:szCs w:val="28"/>
        </w:rPr>
        <w:t>00</w:t>
      </w:r>
      <w:r>
        <w:rPr>
          <w:rFonts w:hint="eastAsia"/>
          <w:szCs w:val="28"/>
        </w:rPr>
        <w:t>%，达到目标值。质量指标中因奖励资金足额及时发放率未达到目标值导致扣分，我部规定奖金须经评选领导小组组长、副组长同意，省委宣传部部务会研究后支出，下一步将加快工作进度，尽快完成资金支付。指标分值合计</w:t>
      </w:r>
      <w:r>
        <w:rPr>
          <w:szCs w:val="28"/>
        </w:rPr>
        <w:t>11</w:t>
      </w:r>
      <w:r>
        <w:rPr>
          <w:rFonts w:hint="eastAsia"/>
          <w:szCs w:val="28"/>
        </w:rPr>
        <w:t>分，按评分标准得</w:t>
      </w:r>
      <w:r>
        <w:rPr>
          <w:szCs w:val="28"/>
        </w:rPr>
        <w:t>10</w:t>
      </w:r>
      <w:r>
        <w:rPr>
          <w:rFonts w:hint="eastAsia"/>
          <w:szCs w:val="28"/>
        </w:rPr>
        <w:t>分，得分率</w:t>
      </w:r>
      <w:r>
        <w:rPr>
          <w:szCs w:val="28"/>
        </w:rPr>
        <w:t>90.9</w:t>
      </w:r>
      <w:r>
        <w:rPr>
          <w:rFonts w:hint="eastAsia"/>
          <w:szCs w:val="28"/>
        </w:rPr>
        <w:t>%。</w:t>
      </w:r>
    </w:p>
    <w:p>
      <w:pPr>
        <w:ind w:firstLine="562"/>
        <w:rPr>
          <w:b/>
          <w:bCs/>
          <w:szCs w:val="28"/>
        </w:rPr>
      </w:pPr>
      <w:r>
        <w:rPr>
          <w:rFonts w:hint="eastAsia"/>
          <w:b/>
          <w:bCs/>
          <w:szCs w:val="28"/>
        </w:rPr>
        <w:t>时效指标：</w:t>
      </w:r>
      <w:r>
        <w:rPr>
          <w:rFonts w:hint="eastAsia"/>
          <w:szCs w:val="28"/>
        </w:rPr>
        <w:t>2021年我部表彰奖励及时率实际完成值为0%，未达到目标值；评选及时率、通知下发及时率均为1</w:t>
      </w:r>
      <w:r>
        <w:rPr>
          <w:szCs w:val="28"/>
        </w:rPr>
        <w:t>00</w:t>
      </w:r>
      <w:r>
        <w:rPr>
          <w:rFonts w:hint="eastAsia"/>
          <w:szCs w:val="28"/>
        </w:rPr>
        <w:t>%，达到目标值。时效指标中表彰奖励工作完成不及时导致扣分，因评选工作有严格程序，需通过评审、上会、公示、签批、下发表彰决定、组织表彰等相关程序稳步推进，我部将加快工作进度，尽快完成表彰奖励。指标分值合计</w:t>
      </w:r>
      <w:r>
        <w:rPr>
          <w:szCs w:val="28"/>
        </w:rPr>
        <w:t>9</w:t>
      </w:r>
      <w:r>
        <w:rPr>
          <w:rFonts w:hint="eastAsia"/>
          <w:szCs w:val="28"/>
        </w:rPr>
        <w:t>分，按评分标准得</w:t>
      </w:r>
      <w:r>
        <w:rPr>
          <w:szCs w:val="28"/>
        </w:rPr>
        <w:t>8</w:t>
      </w:r>
      <w:r>
        <w:rPr>
          <w:rFonts w:hint="eastAsia"/>
          <w:szCs w:val="28"/>
        </w:rPr>
        <w:t>分，得分率</w:t>
      </w:r>
      <w:r>
        <w:rPr>
          <w:szCs w:val="28"/>
        </w:rPr>
        <w:t>88.89</w:t>
      </w:r>
      <w:r>
        <w:rPr>
          <w:rFonts w:hint="eastAsia"/>
          <w:szCs w:val="28"/>
        </w:rPr>
        <w:t>%。</w:t>
      </w:r>
    </w:p>
    <w:p>
      <w:pPr>
        <w:ind w:firstLine="562"/>
        <w:rPr>
          <w:szCs w:val="28"/>
        </w:rPr>
      </w:pPr>
      <w:r>
        <w:rPr>
          <w:rFonts w:hint="eastAsia"/>
          <w:b/>
          <w:bCs/>
          <w:szCs w:val="28"/>
        </w:rPr>
        <w:t>成本指标：</w:t>
      </w:r>
      <w:r>
        <w:rPr>
          <w:rFonts w:hint="eastAsia"/>
          <w:szCs w:val="28"/>
        </w:rPr>
        <w:t>2021年我部该项目成本控制在预算范围内。</w:t>
      </w:r>
      <w:r>
        <w:rPr>
          <w:rStyle w:val="24"/>
          <w:rFonts w:hint="eastAsia"/>
          <w:sz w:val="28"/>
          <w:szCs w:val="28"/>
        </w:rPr>
        <w:t>指标</w:t>
      </w:r>
      <w:r>
        <w:rPr>
          <w:rFonts w:hint="eastAsia"/>
          <w:szCs w:val="28"/>
        </w:rPr>
        <w:t>分值合计</w:t>
      </w:r>
      <w:r>
        <w:rPr>
          <w:szCs w:val="28"/>
        </w:rPr>
        <w:t>5</w:t>
      </w:r>
      <w:r>
        <w:rPr>
          <w:rFonts w:hint="eastAsia"/>
          <w:szCs w:val="28"/>
        </w:rPr>
        <w:t>分，按评分标准得</w:t>
      </w:r>
      <w:r>
        <w:rPr>
          <w:szCs w:val="28"/>
        </w:rPr>
        <w:t>5</w:t>
      </w:r>
      <w:r>
        <w:rPr>
          <w:rFonts w:hint="eastAsia"/>
          <w:szCs w:val="28"/>
        </w:rPr>
        <w:t>分，得分率</w:t>
      </w:r>
      <w:r>
        <w:rPr>
          <w:szCs w:val="28"/>
        </w:rPr>
        <w:t>100</w:t>
      </w:r>
      <w:r>
        <w:rPr>
          <w:rFonts w:hint="eastAsia"/>
          <w:szCs w:val="28"/>
        </w:rPr>
        <w:t>%。</w:t>
      </w:r>
    </w:p>
    <w:p>
      <w:pPr>
        <w:ind w:firstLine="560"/>
        <w:rPr>
          <w:b/>
          <w:bCs/>
        </w:rPr>
      </w:pPr>
      <w:r>
        <w:rPr>
          <w:rFonts w:hint="eastAsia"/>
          <w:b/>
          <w:bCs/>
        </w:rPr>
        <w:t>（2）效益指标</w:t>
      </w:r>
    </w:p>
    <w:p>
      <w:pPr>
        <w:ind w:firstLine="560"/>
        <w:rPr>
          <w:szCs w:val="28"/>
          <w:lang w:bidi="ar"/>
        </w:rPr>
      </w:pPr>
      <w:r>
        <w:rPr>
          <w:rFonts w:hint="eastAsia"/>
          <w:szCs w:val="28"/>
          <w:lang w:bidi="ar"/>
        </w:rPr>
        <w:t>效益指标包括社会效益指标、可持续影响指标</w:t>
      </w:r>
      <w:r>
        <w:rPr>
          <w:szCs w:val="28"/>
          <w:lang w:bidi="ar"/>
        </w:rPr>
        <w:t>2</w:t>
      </w:r>
      <w:r>
        <w:rPr>
          <w:rFonts w:hint="eastAsia"/>
          <w:szCs w:val="28"/>
          <w:lang w:bidi="ar"/>
        </w:rPr>
        <w:t>个二级指标，</w:t>
      </w:r>
      <w:r>
        <w:rPr>
          <w:szCs w:val="28"/>
          <w:lang w:bidi="ar"/>
        </w:rPr>
        <w:t>6</w:t>
      </w:r>
      <w:r>
        <w:rPr>
          <w:rFonts w:hint="eastAsia"/>
          <w:szCs w:val="28"/>
          <w:lang w:bidi="ar"/>
        </w:rPr>
        <w:t>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1168"/>
        <w:gridCol w:w="1123"/>
        <w:gridCol w:w="883"/>
        <w:gridCol w:w="74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敦煌文艺奖品牌影响力</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全省人民精神文化生活丰富度</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全省文艺工作者创作热情</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获奖作品资料保存规范性</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规范</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文艺工作者参与热情</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持续</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9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优秀成果宣传机制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完善</w:t>
            </w:r>
          </w:p>
        </w:tc>
        <w:tc>
          <w:tcPr>
            <w:tcW w:w="11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敦煌文艺奖</w:t>
      </w:r>
      <w:r>
        <w:rPr>
          <w:szCs w:val="28"/>
        </w:rPr>
        <w:t>评选坚持公开、公平、公正原则，把作品质量和社会效益放在首位，评选结果得到领导、作者、群众的广泛认可，品牌知名度和影响力不断提高</w:t>
      </w:r>
      <w:r>
        <w:rPr>
          <w:rFonts w:hint="eastAsia"/>
          <w:szCs w:val="28"/>
        </w:rPr>
        <w:t>；获奖作品大多具有较高的播放量、观看量等，极大丰富了人民精神文化生活；评选出</w:t>
      </w:r>
      <w:r>
        <w:rPr>
          <w:szCs w:val="28"/>
        </w:rPr>
        <w:t>86项优秀作品，并对评选年限内获得全国性奖励的2项作品授予荣誉奖，6部入选全国性奖项或影响力大的作品授予特别奖，极大的激励了文艺工作者潜心创作</w:t>
      </w:r>
      <w:r>
        <w:rPr>
          <w:rFonts w:hint="eastAsia"/>
          <w:szCs w:val="28"/>
        </w:rPr>
        <w:t>、</w:t>
      </w:r>
      <w:r>
        <w:rPr>
          <w:szCs w:val="28"/>
        </w:rPr>
        <w:t>打造精品的动力和热情。</w:t>
      </w:r>
      <w:r>
        <w:rPr>
          <w:rFonts w:hint="eastAsia"/>
          <w:szCs w:val="28"/>
        </w:rPr>
        <w:t>社会效益指标均达到目标值，指标分值合计15分，按评分标准得15分，得分率100%。</w:t>
      </w:r>
    </w:p>
    <w:p>
      <w:pPr>
        <w:ind w:firstLine="562"/>
        <w:rPr>
          <w:szCs w:val="28"/>
        </w:rPr>
      </w:pPr>
      <w:r>
        <w:rPr>
          <w:rFonts w:hint="eastAsia"/>
          <w:b/>
          <w:bCs/>
          <w:szCs w:val="28"/>
        </w:rPr>
        <w:t>可持续影响指标：</w:t>
      </w:r>
      <w:r>
        <w:rPr>
          <w:rFonts w:hint="eastAsia"/>
          <w:szCs w:val="28"/>
        </w:rPr>
        <w:t>本次评选工作对相关资料均进行电子化处理，资料保存严谨规范；本届评选共收到</w:t>
      </w:r>
      <w:r>
        <w:rPr>
          <w:szCs w:val="28"/>
        </w:rPr>
        <w:t>367项参评作品，文艺工作者参与热情不断提高</w:t>
      </w:r>
      <w:r>
        <w:rPr>
          <w:rFonts w:hint="eastAsia"/>
          <w:szCs w:val="28"/>
        </w:rPr>
        <w:t>；获奖作品将以省委、省政府名义表彰，成果宣传机制成熟，形成正面宣传</w:t>
      </w:r>
      <w:r>
        <w:rPr>
          <w:szCs w:val="28"/>
        </w:rPr>
        <w:t>。</w:t>
      </w:r>
      <w:r>
        <w:rPr>
          <w:rFonts w:hint="eastAsia"/>
          <w:szCs w:val="28"/>
        </w:rPr>
        <w:t>可持续影响指标均达到了目标值，指标分值</w:t>
      </w:r>
      <w:r>
        <w:rPr>
          <w:szCs w:val="28"/>
        </w:rPr>
        <w:t>15</w:t>
      </w:r>
      <w:r>
        <w:rPr>
          <w:rFonts w:hint="eastAsia"/>
          <w:szCs w:val="28"/>
        </w:rPr>
        <w:t>分，按评分标准得15分，得分率100%。</w:t>
      </w:r>
    </w:p>
    <w:p>
      <w:pPr>
        <w:ind w:firstLine="560"/>
        <w:rPr>
          <w:b/>
          <w:bCs/>
        </w:rPr>
      </w:pPr>
      <w:r>
        <w:rPr>
          <w:rFonts w:hint="eastAsia"/>
          <w:b/>
          <w:bCs/>
        </w:rPr>
        <w:t>（3）满意度指标</w:t>
      </w:r>
    </w:p>
    <w:p>
      <w:pPr>
        <w:ind w:firstLine="560"/>
        <w:rPr>
          <w:szCs w:val="28"/>
          <w:lang w:bidi="ar"/>
        </w:rPr>
      </w:pPr>
      <w:r>
        <w:rPr>
          <w:rFonts w:hint="eastAsia"/>
          <w:szCs w:val="28"/>
          <w:lang w:bidi="ar"/>
        </w:rPr>
        <w:t>满意度指标包括参评者满意度、获奖者满意度和评审专家满意度</w:t>
      </w:r>
      <w:r>
        <w:rPr>
          <w:szCs w:val="28"/>
          <w:lang w:bidi="ar"/>
        </w:rPr>
        <w:t>3</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参评者满意度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获奖者满意度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4</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4</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ascii="宋体" w:hAnsi="宋体"/>
                <w:color w:val="333333"/>
                <w:sz w:val="24"/>
                <w:szCs w:val="24"/>
              </w:rPr>
            </w:pPr>
            <w:r>
              <w:rPr>
                <w:rFonts w:hint="eastAsia"/>
                <w:color w:val="000000"/>
                <w:sz w:val="24"/>
                <w:szCs w:val="24"/>
              </w:rPr>
              <w:t>评审专家满意度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4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3</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本次评选按艺术类别设置专家评审小组，评审专家在全省文化人才专家库中随机抽取，评选工作严格按照《甘肃省敦煌文艺奖评奖办法》《评审工作守则》《评选标准》开展，参评者、获奖者、评审专家均满意敦煌文艺奖评选各项工作</w:t>
      </w:r>
      <w:r>
        <w:rPr>
          <w:rFonts w:hint="eastAsia"/>
          <w:szCs w:val="21"/>
        </w:rPr>
        <w:t>。满意度指标均达到了预期目标值。指标分值合计10分，按评分标准得10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rFonts w:hint="eastAsia" w:eastAsia="仿宋_GB2312"/>
          <w:b/>
          <w:bCs/>
          <w:lang w:eastAsia="zh-CN"/>
        </w:rPr>
      </w:pPr>
      <w:r>
        <w:rPr>
          <w:rFonts w:hint="eastAsia"/>
          <w:b/>
          <w:bCs/>
        </w:rPr>
        <w:t>（1）奖励资金足额及时发放率</w:t>
      </w:r>
      <w:r>
        <w:rPr>
          <w:rFonts w:hint="eastAsia"/>
          <w:b/>
          <w:bCs/>
          <w:lang w:eastAsia="zh-CN"/>
        </w:rPr>
        <w:t>和预算执行率</w:t>
      </w:r>
    </w:p>
    <w:p>
      <w:pPr>
        <w:ind w:firstLine="560"/>
      </w:pPr>
      <w:r>
        <w:rPr>
          <w:rFonts w:hint="eastAsia"/>
        </w:rPr>
        <w:t>2021年我部奖励资金足额及时发放率为0%，</w:t>
      </w:r>
      <w:r>
        <w:rPr>
          <w:rFonts w:hint="eastAsia"/>
          <w:lang w:eastAsia="zh-CN"/>
        </w:rPr>
        <w:t>预算执行率为</w:t>
      </w:r>
      <w:r>
        <w:rPr>
          <w:rFonts w:hint="eastAsia"/>
          <w:lang w:val="en-US" w:eastAsia="zh-CN"/>
        </w:rPr>
        <w:t>7.46%，</w:t>
      </w:r>
      <w:r>
        <w:rPr>
          <w:rFonts w:hint="eastAsia"/>
        </w:rPr>
        <w:t>由于</w:t>
      </w:r>
      <w:r>
        <w:t>奖金须经评选领导小组组长、副组长同意，省委宣传部部务会研究后支出</w:t>
      </w:r>
      <w:r>
        <w:rPr>
          <w:rFonts w:hint="eastAsia"/>
          <w:lang w:eastAsia="zh-CN"/>
        </w:rPr>
        <w:t>，导致奖励资金发放不及时、预算执行率低</w:t>
      </w:r>
      <w:r>
        <w:t>。</w:t>
      </w:r>
      <w:r>
        <w:rPr>
          <w:rFonts w:hint="eastAsia"/>
          <w:lang w:eastAsia="zh-CN"/>
        </w:rPr>
        <w:t>下一步</w:t>
      </w:r>
      <w:r>
        <w:rPr>
          <w:rFonts w:hint="eastAsia"/>
        </w:rPr>
        <w:t>我部将加快工作进度，尽快完成资金支付</w:t>
      </w:r>
      <w:r>
        <w:rPr>
          <w:rFonts w:hint="eastAsia"/>
          <w:lang w:eastAsia="zh-CN"/>
        </w:rPr>
        <w:t>，提高预算执行率</w:t>
      </w:r>
      <w:r>
        <w:rPr>
          <w:rFonts w:hint="eastAsia"/>
        </w:rPr>
        <w:t>。</w:t>
      </w:r>
    </w:p>
    <w:p>
      <w:pPr>
        <w:pStyle w:val="11"/>
        <w:numPr>
          <w:ilvl w:val="255"/>
          <w:numId w:val="0"/>
        </w:numPr>
        <w:ind w:firstLine="562"/>
        <w:rPr>
          <w:b/>
          <w:bCs/>
        </w:rPr>
      </w:pPr>
      <w:r>
        <w:rPr>
          <w:rFonts w:hint="eastAsia"/>
          <w:b/>
          <w:bCs/>
        </w:rPr>
        <w:t>（2）表彰奖励及时率</w:t>
      </w:r>
    </w:p>
    <w:p>
      <w:pPr>
        <w:pStyle w:val="11"/>
        <w:numPr>
          <w:ilvl w:val="255"/>
          <w:numId w:val="0"/>
        </w:numPr>
        <w:ind w:firstLine="560"/>
      </w:pPr>
      <w:r>
        <w:rPr>
          <w:rFonts w:hint="eastAsia"/>
        </w:rPr>
        <w:t>2021年我部表彰奖励及时率为0%，由于</w:t>
      </w:r>
      <w:r>
        <w:t>评选工作有严格程序，需通过评审、上会、公示、签批、下发表彰决定、组织表彰等相关程序稳步推进。</w:t>
      </w:r>
      <w:r>
        <w:rPr>
          <w:rFonts w:hint="eastAsia"/>
        </w:rPr>
        <w:t>下一步我部将加快工作进度，尽快完成表彰奖励。</w:t>
      </w:r>
    </w:p>
    <w:p>
      <w:pPr>
        <w:pStyle w:val="3"/>
        <w:ind w:firstLine="643"/>
      </w:pPr>
      <w:bookmarkStart w:id="94" w:name="_Toc21625"/>
      <w:r>
        <w:rPr>
          <w:rFonts w:hint="eastAsia"/>
        </w:rPr>
        <w:t>（二十）项目20－公共文化服务建设体系建设专项（农家书屋）</w:t>
      </w:r>
      <w:bookmarkEnd w:id="94"/>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公共文化服务建设体系建设专项（农家书屋）项目年初预算数</w:t>
      </w:r>
      <w:r>
        <w:rPr>
          <w:rFonts w:hint="eastAsia"/>
          <w:szCs w:val="28"/>
          <w:lang w:eastAsia="zh-CN"/>
        </w:rPr>
        <w:t>、</w:t>
      </w:r>
      <w:r>
        <w:rPr>
          <w:rFonts w:hint="eastAsia"/>
          <w:szCs w:val="28"/>
        </w:rPr>
        <w:t>全年预算数</w:t>
      </w:r>
      <w:r>
        <w:rPr>
          <w:rFonts w:hint="eastAsia"/>
          <w:szCs w:val="28"/>
          <w:lang w:eastAsia="zh-CN"/>
        </w:rPr>
        <w:t>均为</w:t>
      </w:r>
      <w:r>
        <w:rPr>
          <w:szCs w:val="28"/>
        </w:rPr>
        <w:t>2000</w:t>
      </w:r>
      <w:r>
        <w:rPr>
          <w:rFonts w:hint="eastAsia"/>
          <w:szCs w:val="28"/>
        </w:rPr>
        <w:t>万元，全年支出数</w:t>
      </w:r>
      <w:r>
        <w:rPr>
          <w:szCs w:val="28"/>
        </w:rPr>
        <w:t>1992.32</w:t>
      </w:r>
      <w:r>
        <w:rPr>
          <w:rFonts w:hint="eastAsia"/>
          <w:szCs w:val="28"/>
        </w:rPr>
        <w:t>万元，预算执行率</w:t>
      </w:r>
      <w:r>
        <w:rPr>
          <w:szCs w:val="28"/>
        </w:rPr>
        <w:t>99.62%</w:t>
      </w:r>
      <w:r>
        <w:rPr>
          <w:rFonts w:hint="eastAsia"/>
          <w:szCs w:val="28"/>
        </w:rPr>
        <w:t>，指标分值10分，按评分标准得</w:t>
      </w:r>
      <w:r>
        <w:rPr>
          <w:szCs w:val="28"/>
        </w:rPr>
        <w:t>9.96</w:t>
      </w:r>
      <w:r>
        <w:rPr>
          <w:rFonts w:hint="eastAsia"/>
          <w:szCs w:val="28"/>
        </w:rPr>
        <w:t>分，得分率</w:t>
      </w:r>
      <w:r>
        <w:rPr>
          <w:szCs w:val="28"/>
        </w:rPr>
        <w:t>99.62</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98.84</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深入贯彻落实中宣部等十部门印发的《农家书屋深化改革创新</w:t>
      </w:r>
      <w:r>
        <w:rPr>
          <w:szCs w:val="28"/>
        </w:rPr>
        <w:t xml:space="preserve"> 提升服务效能实施方案》部署要求，结合我省农家书屋管理运行实际和农民群众阅读需求，严格依据中宣部《2021年农家书屋重点出版物推荐目录》，为全省14个市州和兰州新区的16321家农家书屋、6736家农村幼儿园“小书架”补充更新出版物，继续推进数字农家书屋——“百草园”公共文化服务平台建设，承接中宣部相关活动，开展我省乡村阅读推广系列活动，举办全省农家书屋业务培训班等。</w:t>
      </w:r>
    </w:p>
    <w:p>
      <w:pPr>
        <w:ind w:firstLine="562"/>
        <w:rPr>
          <w:szCs w:val="28"/>
        </w:rPr>
      </w:pPr>
      <w:r>
        <w:rPr>
          <w:rFonts w:hint="eastAsia"/>
          <w:b/>
          <w:bCs/>
          <w:szCs w:val="28"/>
        </w:rPr>
        <w:t>实际完成情况：</w:t>
      </w:r>
      <w:r>
        <w:rPr>
          <w:rFonts w:hint="eastAsia"/>
          <w:szCs w:val="28"/>
        </w:rPr>
        <w:t>2021年省财政下达全省农家书屋出版物补充更新专项资金2000万元。1.为全省14个市州和兰州新区的16321家农家书屋、6736家农村幼儿园补充更新了价值1640余万元实洋的出版物。其中，为全省16321家农家书屋配送图书292384册、期刊8000份；为全省6736家农村幼儿园每家补充更新绘本46种，共计309856册，实现农村地区幼儿园“小书架”全覆盖。2.为推进数字农家书屋——“百草园”公共文化服务平台提升推广。其中，200万元用于购买数字资源，增加内容供给，补助250余万元；为加大推广普及补助50余万元，截至2021年底，“百草园”下载和关注人数突破100万人次，使用和浏览次数达到2500万次。3.为承办中宣部2021年“我的书屋·我的梦”农村少年儿童阅读实践示范活动、拍摄《书香陇原——甘肃省农家书屋工作纪实》宣传片、开展我省农村地区阅读推广活动、举办全省农家书屋业务培训班及知识竞赛、推选五星级书屋、建设“红色书架”等工作补助110余万元。</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8</w:t>
      </w:r>
      <w:r>
        <w:rPr>
          <w:rFonts w:hint="eastAsia"/>
          <w:szCs w:val="28"/>
          <w:lang w:bidi="ar"/>
        </w:rPr>
        <w:t>个三级指标，指标总分值50分，自评得分48.88分，得分率97.76%。指标分析如下：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515"/>
        <w:gridCol w:w="1545"/>
        <w:gridCol w:w="767"/>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农村幼儿园“小书架”补充出版物金额</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=700万元</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673.60万元</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highlight w:val="yellow"/>
              </w:rPr>
            </w:pPr>
            <w:r>
              <w:rPr>
                <w:rFonts w:hint="eastAsia"/>
                <w:color w:val="000000"/>
                <w:sz w:val="24"/>
                <w:szCs w:val="24"/>
                <w:highlight w:val="none"/>
              </w:rPr>
              <w:t>全省农家书屋补充出版物资金</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=1000万元</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color w:val="000000"/>
                <w:sz w:val="24"/>
                <w:szCs w:val="24"/>
              </w:rPr>
              <w:t>966.4</w:t>
            </w:r>
            <w:r>
              <w:rPr>
                <w:rFonts w:hint="eastAsia"/>
                <w:color w:val="000000"/>
                <w:sz w:val="24"/>
                <w:szCs w:val="24"/>
              </w:rPr>
              <w:t>万元</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全省出版物补充更新农家书屋数</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=10000家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16321</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4.55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数字农家书屋补充出版物金额</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=300万元</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250万元</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3.33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83.25%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出版物正版率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印刷品质量合格率（%）</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全省农家书屋出版物补充更新及时性</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7</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合理控制成本</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合理</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333333"/>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4</w:t>
            </w:r>
            <w:r>
              <w:rPr>
                <w:rFonts w:hAnsi="等线"/>
                <w:b/>
                <w:bCs/>
                <w:sz w:val="24"/>
                <w:szCs w:val="24"/>
              </w:rPr>
              <w:t>8.88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9</w:t>
            </w:r>
            <w:r>
              <w:rPr>
                <w:rFonts w:hAnsi="等线"/>
                <w:b/>
                <w:bCs/>
                <w:sz w:val="24"/>
                <w:szCs w:val="24"/>
              </w:rPr>
              <w:t>7.76</w:t>
            </w:r>
            <w:r>
              <w:rPr>
                <w:rFonts w:hint="eastAsia" w:hAnsi="等线"/>
                <w:b/>
                <w:bCs/>
                <w:sz w:val="24"/>
                <w:szCs w:val="24"/>
              </w:rPr>
              <w:t>%</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2021年度，为全省</w:t>
      </w:r>
      <w:r>
        <w:rPr>
          <w:szCs w:val="28"/>
          <w:lang w:bidi="ar"/>
        </w:rPr>
        <w:t>14个市州和兰州新区的16321家农家书屋、6736家农村幼儿园补充更新了价值1640</w:t>
      </w:r>
      <w:r>
        <w:rPr>
          <w:rFonts w:hint="eastAsia"/>
          <w:szCs w:val="28"/>
          <w:lang w:eastAsia="zh-CN" w:bidi="ar"/>
        </w:rPr>
        <w:t>余</w:t>
      </w:r>
      <w:r>
        <w:rPr>
          <w:szCs w:val="28"/>
          <w:lang w:bidi="ar"/>
        </w:rPr>
        <w:t>万元实洋的出版物，</w:t>
      </w:r>
      <w:r>
        <w:rPr>
          <w:rFonts w:hint="eastAsia"/>
          <w:szCs w:val="28"/>
          <w:lang w:bidi="ar"/>
        </w:rPr>
        <w:t>其中农村幼儿园“小书架”补充出版物金额6</w:t>
      </w:r>
      <w:r>
        <w:rPr>
          <w:szCs w:val="28"/>
          <w:lang w:bidi="ar"/>
        </w:rPr>
        <w:t>73.6</w:t>
      </w:r>
      <w:r>
        <w:rPr>
          <w:rFonts w:hint="eastAsia"/>
          <w:szCs w:val="28"/>
          <w:lang w:eastAsia="zh-CN" w:bidi="ar"/>
        </w:rPr>
        <w:t>余</w:t>
      </w:r>
      <w:r>
        <w:rPr>
          <w:rFonts w:hint="eastAsia"/>
          <w:szCs w:val="28"/>
          <w:lang w:bidi="ar"/>
        </w:rPr>
        <w:t>万元，全省</w:t>
      </w:r>
      <w:r>
        <w:rPr>
          <w:szCs w:val="28"/>
          <w:highlight w:val="none"/>
          <w:lang w:bidi="ar"/>
        </w:rPr>
        <w:t>农家书屋补充出版物资金966.4</w:t>
      </w:r>
      <w:r>
        <w:rPr>
          <w:rFonts w:hint="eastAsia"/>
          <w:szCs w:val="28"/>
          <w:highlight w:val="none"/>
          <w:lang w:eastAsia="zh-CN" w:bidi="ar"/>
        </w:rPr>
        <w:t>余</w:t>
      </w:r>
      <w:r>
        <w:rPr>
          <w:rFonts w:hint="eastAsia"/>
          <w:szCs w:val="28"/>
          <w:highlight w:val="none"/>
          <w:lang w:bidi="ar"/>
        </w:rPr>
        <w:t>万元，全省出版物补充更新农家书屋数1</w:t>
      </w:r>
      <w:r>
        <w:rPr>
          <w:szCs w:val="28"/>
          <w:highlight w:val="none"/>
          <w:lang w:bidi="ar"/>
        </w:rPr>
        <w:t>6321</w:t>
      </w:r>
      <w:r>
        <w:rPr>
          <w:rFonts w:hint="eastAsia"/>
          <w:szCs w:val="28"/>
          <w:highlight w:val="none"/>
          <w:lang w:bidi="ar"/>
        </w:rPr>
        <w:t>家，</w:t>
      </w:r>
      <w:r>
        <w:rPr>
          <w:szCs w:val="28"/>
          <w:highlight w:val="none"/>
          <w:lang w:bidi="ar"/>
        </w:rPr>
        <w:t>用于推进数字农家书屋——“百草园</w:t>
      </w:r>
      <w:r>
        <w:rPr>
          <w:szCs w:val="28"/>
          <w:lang w:bidi="ar"/>
        </w:rPr>
        <w:t>”公共文化服务平台提升推广250万元。</w:t>
      </w:r>
      <w:r>
        <w:rPr>
          <w:rFonts w:hint="eastAsia"/>
          <w:szCs w:val="28"/>
          <w:lang w:bidi="ar"/>
        </w:rPr>
        <w:t>数量指标中农村幼儿园“小书架”补充出版物金额没有达到目标值，因按照《关于用好公共文化服务体系建设专项资金保障农家书屋出版物补充更新的通知》（新广出办发〔</w:t>
      </w:r>
      <w:r>
        <w:rPr>
          <w:szCs w:val="28"/>
          <w:lang w:bidi="ar"/>
        </w:rPr>
        <w:t>2016〕37号）规定和国家新闻出版署相关要求</w:t>
      </w:r>
      <w:r>
        <w:rPr>
          <w:rFonts w:hint="eastAsia"/>
          <w:szCs w:val="28"/>
          <w:lang w:bidi="ar"/>
        </w:rPr>
        <w:t>进行测算后资金有缺口，保障不足。其余指标均达到目标值，指标分值合计</w:t>
      </w:r>
      <w:r>
        <w:rPr>
          <w:szCs w:val="28"/>
          <w:lang w:bidi="ar"/>
        </w:rPr>
        <w:t>17</w:t>
      </w:r>
      <w:r>
        <w:rPr>
          <w:rFonts w:hint="eastAsia"/>
          <w:szCs w:val="28"/>
          <w:lang w:bidi="ar"/>
        </w:rPr>
        <w:t>分，按评分标准得</w:t>
      </w:r>
      <w:r>
        <w:rPr>
          <w:szCs w:val="28"/>
          <w:lang w:bidi="ar"/>
        </w:rPr>
        <w:t>15.88</w:t>
      </w:r>
      <w:r>
        <w:rPr>
          <w:rFonts w:hint="eastAsia"/>
          <w:szCs w:val="28"/>
          <w:lang w:bidi="ar"/>
        </w:rPr>
        <w:t>分，得分率</w:t>
      </w:r>
      <w:r>
        <w:rPr>
          <w:szCs w:val="28"/>
          <w:lang w:bidi="ar"/>
        </w:rPr>
        <w:t>93.41</w:t>
      </w:r>
      <w:r>
        <w:rPr>
          <w:rFonts w:hint="eastAsia"/>
          <w:szCs w:val="28"/>
          <w:lang w:bidi="ar"/>
        </w:rPr>
        <w:t>%。</w:t>
      </w:r>
    </w:p>
    <w:p>
      <w:pPr>
        <w:ind w:firstLine="562"/>
        <w:rPr>
          <w:szCs w:val="28"/>
        </w:rPr>
      </w:pPr>
      <w:r>
        <w:rPr>
          <w:rFonts w:hint="eastAsia"/>
          <w:b/>
          <w:bCs/>
          <w:szCs w:val="28"/>
        </w:rPr>
        <w:t>质量指标：</w:t>
      </w:r>
      <w:r>
        <w:rPr>
          <w:rFonts w:hint="eastAsia"/>
          <w:szCs w:val="28"/>
        </w:rPr>
        <w:t>我省严格依据政府采购有关法规要求，委托省公共资源交易局公开招标，购买农家书屋中有需要的出版物，并做补充，出版物的正版率和印刷品质量合格率均达到1</w:t>
      </w:r>
      <w:r>
        <w:rPr>
          <w:szCs w:val="28"/>
        </w:rPr>
        <w:t>00</w:t>
      </w:r>
      <w:r>
        <w:rPr>
          <w:rFonts w:hint="eastAsia"/>
          <w:szCs w:val="28"/>
        </w:rPr>
        <w:t>%。质量指标均达到目标值，指标分值合计</w:t>
      </w:r>
      <w:r>
        <w:rPr>
          <w:szCs w:val="28"/>
        </w:rPr>
        <w:t>20</w:t>
      </w:r>
      <w:r>
        <w:rPr>
          <w:rFonts w:hint="eastAsia"/>
          <w:szCs w:val="28"/>
        </w:rPr>
        <w:t>分，按评分标准得</w:t>
      </w:r>
      <w:r>
        <w:rPr>
          <w:szCs w:val="28"/>
        </w:rPr>
        <w:t>20</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2021年我部在全省农家书屋出版物补充工作中更新及时，达到了目标值。指标分值合计</w:t>
      </w:r>
      <w:r>
        <w:rPr>
          <w:szCs w:val="28"/>
        </w:rPr>
        <w:t>7</w:t>
      </w:r>
      <w:r>
        <w:rPr>
          <w:rFonts w:hint="eastAsia"/>
          <w:szCs w:val="28"/>
        </w:rPr>
        <w:t>分，按评分标准得</w:t>
      </w:r>
      <w:r>
        <w:rPr>
          <w:szCs w:val="28"/>
        </w:rPr>
        <w:t>7</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成本指标：</w:t>
      </w:r>
      <w:r>
        <w:rPr>
          <w:rFonts w:hint="eastAsia"/>
          <w:szCs w:val="28"/>
        </w:rPr>
        <w:t>2021年该项目成本控制在预算范围内。</w:t>
      </w:r>
      <w:r>
        <w:rPr>
          <w:rStyle w:val="24"/>
          <w:rFonts w:hint="eastAsia"/>
          <w:sz w:val="28"/>
          <w:szCs w:val="28"/>
        </w:rPr>
        <w:t>指标</w:t>
      </w:r>
      <w:r>
        <w:rPr>
          <w:rFonts w:hint="eastAsia"/>
          <w:szCs w:val="28"/>
        </w:rPr>
        <w:t>分值</w:t>
      </w:r>
      <w:r>
        <w:rPr>
          <w:szCs w:val="28"/>
        </w:rPr>
        <w:t>6</w:t>
      </w:r>
      <w:r>
        <w:rPr>
          <w:rFonts w:hint="eastAsia"/>
          <w:szCs w:val="28"/>
        </w:rPr>
        <w:t>分，按评分标准得</w:t>
      </w:r>
      <w:r>
        <w:rPr>
          <w:szCs w:val="28"/>
        </w:rPr>
        <w:t>6</w:t>
      </w:r>
      <w:r>
        <w:rPr>
          <w:rFonts w:hint="eastAsia"/>
          <w:szCs w:val="28"/>
        </w:rPr>
        <w:t>分，得分率</w:t>
      </w:r>
      <w:r>
        <w:rPr>
          <w:szCs w:val="28"/>
        </w:rPr>
        <w:t>100</w:t>
      </w:r>
      <w:r>
        <w:rPr>
          <w:rFonts w:hint="eastAsia"/>
          <w:szCs w:val="28"/>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3</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农民群众文化素养水平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为贫困村精准扶贫提供智力支撑</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效果良好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olor w:val="000000"/>
                <w:sz w:val="24"/>
                <w:szCs w:val="24"/>
              </w:rPr>
            </w:pPr>
            <w:r>
              <w:rPr>
                <w:rFonts w:hint="eastAsia"/>
                <w:color w:val="000000"/>
                <w:sz w:val="24"/>
                <w:szCs w:val="24"/>
              </w:rPr>
              <w:t>农家书屋深化改革创新服务效能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持续提升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农家书屋工程在弘扬社会主义先进文化，丰富广大农民群众精神文化生活，助推乡村振兴，推进城乡公共文化服务标准化均等化等方面发挥了不可替代的重要作用，提升了农民群众文化素养水平，为贫困村精准扶贫提供智力支撑，社会效益指标均达到目标值。社会效益指标分值</w:t>
      </w:r>
      <w:r>
        <w:rPr>
          <w:szCs w:val="28"/>
          <w:lang w:bidi="ar"/>
        </w:rPr>
        <w:t>20</w:t>
      </w:r>
      <w:r>
        <w:rPr>
          <w:rFonts w:hint="eastAsia"/>
          <w:szCs w:val="28"/>
          <w:lang w:bidi="ar"/>
        </w:rPr>
        <w:t>分，按评分标准得</w:t>
      </w:r>
      <w:r>
        <w:rPr>
          <w:szCs w:val="28"/>
          <w:lang w:bidi="ar"/>
        </w:rPr>
        <w:t>20</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为推动农家书屋高质量发展，深化改革创新、提升服务效能，</w:t>
      </w:r>
      <w:r>
        <w:rPr>
          <w:szCs w:val="28"/>
        </w:rPr>
        <w:t>2019年中宣部等十部委联合下发了《农家书屋深化改革创新提升服务效能实施方案》，提出了新的要求。为做好农家书屋工作，我省也积极制定了《贯彻落实&lt;农家书屋深化改革创新 提升服务效能实施方案&gt;工作方案》，全面推动我省农家书屋提质增效，助力乡村振兴，为建设幸福美好新甘肃、不断开创富民兴陇新局面提供更好的文化滋润和智力支撑。</w:t>
      </w:r>
      <w:r>
        <w:rPr>
          <w:rFonts w:hint="eastAsia"/>
          <w:szCs w:val="28"/>
        </w:rPr>
        <w:t>可持续影响指标达到了目标值，指标分值</w:t>
      </w:r>
      <w:r>
        <w:rPr>
          <w:szCs w:val="28"/>
        </w:rPr>
        <w:t>10</w:t>
      </w:r>
      <w:r>
        <w:rPr>
          <w:rFonts w:hint="eastAsia"/>
          <w:szCs w:val="28"/>
        </w:rPr>
        <w:t>分，按评分标准得</w:t>
      </w:r>
      <w:r>
        <w:rPr>
          <w:szCs w:val="28"/>
        </w:rPr>
        <w:t>10</w:t>
      </w:r>
      <w:r>
        <w:rPr>
          <w:rFonts w:hint="eastAsia"/>
          <w:szCs w:val="28"/>
        </w:rPr>
        <w:t>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满意度指标包括群众对农家书屋满意度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134"/>
        <w:gridCol w:w="1134"/>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2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群众对农家书屋满意度</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98%</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color w:val="000000"/>
                <w:sz w:val="24"/>
                <w:szCs w:val="24"/>
              </w:rPr>
              <w:t>10</w:t>
            </w:r>
            <w:r>
              <w:rPr>
                <w:rFonts w:hint="eastAsia"/>
                <w:color w:val="000000"/>
                <w:sz w:val="24"/>
                <w:szCs w:val="24"/>
              </w:rPr>
              <w:t xml:space="preserve"> </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广大人民群众通过农家书屋这个形式享受到了文化服务，放松了身心，该项目在促进农民读书、培养阅读习惯，推进城乡公共文化服务标准化均等化，丰富广大农民群众精神文化生活方面取得了一定的成绩，群众对农家书屋总体满意，满意度为</w:t>
      </w:r>
      <w:r>
        <w:rPr>
          <w:rFonts w:cs="仿宋_GB2312"/>
          <w:color w:val="333333"/>
          <w:szCs w:val="28"/>
        </w:rPr>
        <w:t>98%</w:t>
      </w:r>
      <w:r>
        <w:rPr>
          <w:rFonts w:hint="eastAsia"/>
          <w:szCs w:val="21"/>
        </w:rPr>
        <w:t>，达到了预期目标值。满意度指标分值10分，按评分标准得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2"/>
        <w:rPr>
          <w:rFonts w:hint="eastAsia"/>
          <w:b/>
          <w:bCs/>
          <w:lang w:eastAsia="zh-CN"/>
        </w:rPr>
      </w:pPr>
      <w:r>
        <w:rPr>
          <w:rFonts w:hint="eastAsia"/>
          <w:b/>
          <w:bCs/>
          <w:lang w:eastAsia="zh-CN"/>
        </w:rPr>
        <w:t>（</w:t>
      </w:r>
      <w:r>
        <w:rPr>
          <w:rFonts w:hint="eastAsia"/>
          <w:b/>
          <w:bCs/>
          <w:lang w:val="en-US" w:eastAsia="zh-CN"/>
        </w:rPr>
        <w:t>1</w:t>
      </w:r>
      <w:r>
        <w:rPr>
          <w:rFonts w:hint="eastAsia"/>
          <w:b/>
          <w:bCs/>
          <w:lang w:eastAsia="zh-CN"/>
        </w:rPr>
        <w:t>）农村幼儿园“小书架”补充出版物金额</w:t>
      </w:r>
    </w:p>
    <w:p>
      <w:pPr>
        <w:ind w:firstLine="562"/>
        <w:rPr>
          <w:rFonts w:hint="default"/>
          <w:b w:val="0"/>
          <w:bCs w:val="0"/>
          <w:lang w:val="en-US" w:eastAsia="zh-CN"/>
        </w:rPr>
      </w:pPr>
      <w:r>
        <w:rPr>
          <w:rFonts w:hint="eastAsia"/>
          <w:b w:val="0"/>
          <w:bCs w:val="0"/>
          <w:lang w:val="en-US" w:eastAsia="zh-CN"/>
        </w:rPr>
        <w:t>2021年补充出版物金额、全省农家书屋补充出版物资金、全省出版物补充更新农家书屋数三项指标均未达到年初预算数，由于年初预算设置不合理，未考虑到其他活动项目支出，导致年度指标值设置过高。下一年将根据实际工作情况，科学、合理的设置年度指标值。</w:t>
      </w:r>
    </w:p>
    <w:p>
      <w:pPr>
        <w:pStyle w:val="3"/>
        <w:ind w:firstLine="643"/>
      </w:pPr>
      <w:bookmarkStart w:id="95" w:name="_Toc30263"/>
      <w:r>
        <w:rPr>
          <w:rFonts w:hint="eastAsia"/>
        </w:rPr>
        <w:t>（二十一）项目21－“一带一路”美丽乡村论坛办会经费</w:t>
      </w:r>
      <w:bookmarkEnd w:id="95"/>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“一带一路”美丽乡村论坛办会经费项目全年预算</w:t>
      </w:r>
      <w:r>
        <w:rPr>
          <w:rFonts w:hint="eastAsia"/>
          <w:szCs w:val="28"/>
          <w:lang w:eastAsia="zh-CN"/>
        </w:rPr>
        <w:t>为</w:t>
      </w:r>
      <w:r>
        <w:rPr>
          <w:szCs w:val="28"/>
        </w:rPr>
        <w:t>128</w:t>
      </w:r>
      <w:r>
        <w:rPr>
          <w:rFonts w:hint="eastAsia"/>
          <w:szCs w:val="28"/>
        </w:rPr>
        <w:t>万元，全年支出数</w:t>
      </w:r>
      <w:r>
        <w:rPr>
          <w:szCs w:val="28"/>
        </w:rPr>
        <w:t>128</w:t>
      </w:r>
      <w:r>
        <w:rPr>
          <w:rFonts w:hint="eastAsia"/>
          <w:szCs w:val="28"/>
        </w:rPr>
        <w:t>万元，预算执行率</w:t>
      </w:r>
      <w:r>
        <w:rPr>
          <w:szCs w:val="28"/>
        </w:rPr>
        <w:t>100%</w:t>
      </w:r>
      <w:r>
        <w:rPr>
          <w:rFonts w:hint="eastAsia"/>
          <w:szCs w:val="28"/>
        </w:rPr>
        <w:t>，指标分值10分，按评分标准得1</w:t>
      </w:r>
      <w:r>
        <w:rPr>
          <w:szCs w:val="28"/>
        </w:rPr>
        <w:t>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100</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一是围绕</w:t>
      </w:r>
      <w:r>
        <w:rPr>
          <w:szCs w:val="28"/>
        </w:rPr>
        <w:t>2020“一带一路”美丽乡村论坛“牵手‘一带一路’共建美丽乡村”主题，重点宣传我省在美丽乡村建设和经营、乡村产业发展、文化旅游开发、乡村全面振兴等方面的主要做法和取得的成效。二是围绕主论坛和3个分论坛以及展览推进、现场考察、项目签约等活动，充分报道论坛开幕式及其他活动开展情况，宣传报道此次论坛活动取得的成果。三是围绕2020“一带一路”美丽乡村论坛执委会及各专项活动承办单位筹备工作，充分反映省委省、政府高度重视、各地各部门积极参与、社会各界大力支持的相关情况，营造美丽乡村建设良好舆论氛围。</w:t>
      </w:r>
    </w:p>
    <w:p>
      <w:pPr>
        <w:ind w:firstLine="562"/>
        <w:rPr>
          <w:rFonts w:hAnsi="宋体"/>
          <w:szCs w:val="28"/>
        </w:rPr>
      </w:pPr>
      <w:r>
        <w:rPr>
          <w:rFonts w:hint="eastAsia"/>
          <w:b/>
          <w:bCs/>
          <w:szCs w:val="28"/>
        </w:rPr>
        <w:t>实际完成情况：</w:t>
      </w:r>
      <w:r>
        <w:rPr>
          <w:szCs w:val="28"/>
        </w:rPr>
        <w:t>2020“一带一路”美丽乡村论坛宣传工作，邀请、组织了人民日报、新华社、中国日报、中新社、香港大公文汇传媒集团、香港商报、甘肃日报、省广电总台、甘肃新媒体集团等中央、香港、省属重点新闻单位，综合运用新闻报道、氛围营造、网络推广等形式充分宣传，分会前、会期、会后宣传三个阶段逐次开展，各阶段工作均取得预期成效。</w:t>
      </w:r>
    </w:p>
    <w:p>
      <w:pPr>
        <w:pStyle w:val="4"/>
        <w:ind w:firstLine="562"/>
      </w:pPr>
      <w:r>
        <w:rPr>
          <w:rFonts w:hint="eastAsia"/>
          <w:szCs w:val="28"/>
        </w:rPr>
        <w:t>3</w:t>
      </w:r>
      <w:r>
        <w:rPr>
          <w:rFonts w:hint="eastAsia" w:hAnsi="宋体"/>
          <w:szCs w:val="28"/>
        </w:rPr>
        <w:t>、</w:t>
      </w:r>
      <w:r>
        <w:rPr>
          <w:rFonts w:hint="eastAsia"/>
          <w:szCs w:val="28"/>
        </w:rPr>
        <w:t>各项指标完成情况分析</w:t>
      </w:r>
    </w:p>
    <w:p>
      <w:pPr>
        <w:ind w:firstLine="560"/>
      </w:pPr>
      <w:r>
        <w:rPr>
          <w:rFonts w:hint="eastAsia"/>
          <w:b/>
          <w:bCs/>
        </w:rPr>
        <w:t>（1）产出指标</w:t>
      </w:r>
    </w:p>
    <w:p>
      <w:pPr>
        <w:ind w:firstLine="560"/>
        <w:rPr>
          <w:szCs w:val="28"/>
          <w:lang w:bidi="ar"/>
        </w:rPr>
      </w:pPr>
      <w:r>
        <w:rPr>
          <w:rFonts w:hint="eastAsia"/>
          <w:szCs w:val="28"/>
          <w:lang w:bidi="ar"/>
        </w:rPr>
        <w:t>产出指标包括数量指标、质量指标、时效指标和成本指标4个二级指标，</w:t>
      </w:r>
      <w:r>
        <w:rPr>
          <w:szCs w:val="28"/>
          <w:lang w:bidi="ar"/>
        </w:rPr>
        <w:t>30</w:t>
      </w:r>
      <w:r>
        <w:rPr>
          <w:rFonts w:hint="eastAsia"/>
          <w:szCs w:val="28"/>
          <w:lang w:bidi="ar"/>
        </w:rPr>
        <w:t>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5"/>
        <w:gridCol w:w="1035"/>
        <w:gridCol w:w="1095"/>
        <w:gridCol w:w="735"/>
        <w:gridCol w:w="69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人民网直播场次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新华网直播场次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中国日报专版及其他费用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香港大公/文汇报专版</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香港商报专版</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中新网直播场次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=1次</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今日头条/抖音推送量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≥2000</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≥3777</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甘肃日报、省广电总台、甘肃日报报业集团等省属媒体开设倒计时栏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省属媒体直播场次</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省属媒体专版、专刊、专栏、专题节目</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≥8</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人民网直播点击量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95.1万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新华网直播点击量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≥50万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64.1万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海外社交平台直播点击量（互动量）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≥10万（1万）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10.6万（1.4万）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香港文汇报、香港商报专版推送海外媒体</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Style w:val="40"/>
                <w:rFonts w:hint="default" w:ascii="仿宋_GB2312" w:eastAsia="仿宋_GB2312"/>
                <w:sz w:val="24"/>
                <w:szCs w:val="24"/>
              </w:rPr>
              <w:t>≥10家</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16家</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中新网直播点击量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≥50万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110万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eastAsia" w:eastAsia="仿宋_GB2312"/>
                <w:color w:val="000000"/>
                <w:sz w:val="24"/>
                <w:szCs w:val="24"/>
                <w:lang w:eastAsia="zh-CN"/>
              </w:rPr>
            </w:pPr>
            <w:r>
              <w:rPr>
                <w:rFonts w:hint="eastAsia"/>
                <w:color w:val="000000"/>
                <w:sz w:val="24"/>
                <w:szCs w:val="24"/>
              </w:rPr>
              <w:t>今日头条/抖音阅读量（播放量</w:t>
            </w:r>
            <w:r>
              <w:rPr>
                <w:rFonts w:hint="eastAsia"/>
                <w:color w:val="000000"/>
                <w:sz w:val="24"/>
                <w:szCs w:val="24"/>
                <w:lang w:eastAsia="zh-CN"/>
              </w:rPr>
              <w:t>）</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≥2000万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4724万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省属媒体直播点击量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≥100万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200万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社交平台话题阅读量</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≥1000万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1735万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倒计时有效天数</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≥5天</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7天</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宣传周期</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≥15天</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20天</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新闻报道采写至发布时限</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≤1天</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Style w:val="40"/>
                <w:rFonts w:hint="default" w:ascii="仿宋_GB2312" w:eastAsia="仿宋_GB2312"/>
                <w:sz w:val="24"/>
                <w:szCs w:val="24"/>
              </w:rPr>
              <w:t>≤1天</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人民网直播及宣传费用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新华网直播及宣传费用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中国日报专版及其他费用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15万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中新社宣传费用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香港大公文汇传媒集团专版制作发布及推广费用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香港商报专版制作发布及推广费用</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甘肃日报社宣传报道经费</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省广电总台宣传报道经费</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30万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今日头条、抖音引流推广</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12万</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12万</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7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3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6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50</w:t>
            </w:r>
          </w:p>
        </w:tc>
        <w:tc>
          <w:tcPr>
            <w:tcW w:w="9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spacing w:line="540" w:lineRule="exact"/>
        <w:ind w:firstLine="644" w:firstLineChars="229"/>
        <w:rPr>
          <w:szCs w:val="28"/>
          <w:lang w:bidi="ar"/>
        </w:rPr>
      </w:pPr>
      <w:r>
        <w:rPr>
          <w:rFonts w:hint="eastAsia"/>
          <w:b/>
          <w:bCs/>
          <w:szCs w:val="28"/>
          <w:lang w:bidi="ar"/>
        </w:rPr>
        <w:t>数量指标：</w:t>
      </w:r>
      <w:r>
        <w:rPr>
          <w:rFonts w:hint="eastAsia"/>
          <w:szCs w:val="28"/>
          <w:lang w:bidi="ar"/>
        </w:rPr>
        <w:t>自</w:t>
      </w:r>
      <w:r>
        <w:rPr>
          <w:szCs w:val="28"/>
          <w:lang w:bidi="ar"/>
        </w:rPr>
        <w:t>12月16日起，甘肃日报及其新媒体平台</w:t>
      </w:r>
      <w:r>
        <w:rPr>
          <w:rFonts w:hint="eastAsia"/>
          <w:szCs w:val="28"/>
          <w:lang w:bidi="ar"/>
        </w:rPr>
        <w:t>、甘肃省广电总台及其新媒体平台</w:t>
      </w:r>
      <w:r>
        <w:rPr>
          <w:szCs w:val="28"/>
          <w:lang w:bidi="ar"/>
        </w:rPr>
        <w:t>陆续发布直播预告、开幕倒计时。每日甘肃网19日首发原创视频《2020“一带一路”美丽乡村论坛会址的蝶变》展示论坛会址建设落成全过程，甘肃日报21日、22日头版分别刊发《2020“一带一路”美丽乡村论坛筹备就绪》《绘出陇原美丽乡村新画卷——甘肃省全力改善农村人居环境综述》。《甘肃日报》推出两期论坛特刊，在头版开设《牵手“一带一路” 共建美丽乡村》专栏，先后发稿15篇，并推出摄</w:t>
      </w:r>
      <w:r>
        <w:rPr>
          <w:rFonts w:hint="eastAsia"/>
          <w:szCs w:val="28"/>
          <w:lang w:bidi="ar"/>
        </w:rPr>
        <w:t>影专刊。甘肃日报报业集团组织所属新媒体集团及各子报，集纳刊发相关报道</w:t>
      </w:r>
      <w:r>
        <w:rPr>
          <w:szCs w:val="28"/>
          <w:lang w:bidi="ar"/>
        </w:rPr>
        <w:t>421篇（条），策划制作各类新媒体产品18件，制作短视频8条，设置微博话题#牵手“一带一路”共建美丽乡村#阅读量达32万，“学习强国”甘肃学习平台发布推送稿件60篇。</w:t>
      </w:r>
      <w:r>
        <w:rPr>
          <w:rFonts w:hint="eastAsia"/>
          <w:szCs w:val="28"/>
          <w:lang w:bidi="ar"/>
        </w:rPr>
        <w:t>省广电总台播发《2020“一带一路”美丽乡村论坛筹备就绪》等重点稿件，网站陆续开设2020“一带一路”美丽乡村论坛专栏，持续集纳相关稿件、更新专题内容。省广电总台播发广播、电视新闻稿件23篇，制作专题2期，农村广播、文化影视频道、都市频道等频率频道播发资讯消息、专题10余篇（条），视听甘肃客户端（丝路明珠网）通过开设论坛专题集纳稿件58篇，制作视频、图解、微海报等新媒体产品，并将亮点内容向第三方平台推送。会前，人民网、新华网相继发布直播预告。人民网稿件《2020“一带一路”美丽乡村论坛在甘肃举行》在总网首页要闻区推荐，点击量290570。新华网英文Vlog《500-year-old village in NW China welcomes "friends from afar" 》收获近5万海外网友点赞评论。中国日报于12月26日刊发整版彩色专版专题报道。今日头条推送稿件</w:t>
      </w:r>
      <w:r>
        <w:rPr>
          <w:szCs w:val="28"/>
          <w:lang w:bidi="ar"/>
        </w:rPr>
        <w:t>974篇，抖音推送视频2803条。</w:t>
      </w:r>
      <w:r>
        <w:rPr>
          <w:rFonts w:hint="eastAsia"/>
          <w:szCs w:val="28"/>
          <w:lang w:bidi="ar"/>
        </w:rPr>
        <w:t>数量指标均达到目标值，指标分值合计</w:t>
      </w:r>
      <w:r>
        <w:rPr>
          <w:szCs w:val="28"/>
          <w:lang w:bidi="ar"/>
        </w:rPr>
        <w:t>18</w:t>
      </w:r>
      <w:r>
        <w:rPr>
          <w:rFonts w:hint="eastAsia"/>
          <w:szCs w:val="28"/>
          <w:lang w:bidi="ar"/>
        </w:rPr>
        <w:t>分，按评分标准得</w:t>
      </w:r>
      <w:r>
        <w:rPr>
          <w:szCs w:val="28"/>
          <w:lang w:bidi="ar"/>
        </w:rPr>
        <w:t>18</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质量指标：</w:t>
      </w:r>
      <w:r>
        <w:rPr>
          <w:szCs w:val="28"/>
          <w:lang w:bidi="ar"/>
        </w:rPr>
        <w:t>12月22日论坛开幕，每日甘肃网、新甘肃客户端</w:t>
      </w:r>
      <w:r>
        <w:rPr>
          <w:rFonts w:hint="eastAsia"/>
          <w:szCs w:val="28"/>
          <w:lang w:bidi="ar"/>
        </w:rPr>
        <w:t>、丝路明珠网、视听甘肃客户端</w:t>
      </w:r>
      <w:r>
        <w:rPr>
          <w:szCs w:val="28"/>
          <w:lang w:bidi="ar"/>
        </w:rPr>
        <w:t>对主论坛全程直播，直播当天点击量均逾</w:t>
      </w:r>
      <w:r>
        <w:rPr>
          <w:rFonts w:hint="eastAsia"/>
          <w:szCs w:val="28"/>
          <w:lang w:bidi="ar"/>
        </w:rPr>
        <w:t>2</w:t>
      </w:r>
      <w:r>
        <w:rPr>
          <w:szCs w:val="28"/>
          <w:lang w:bidi="ar"/>
        </w:rPr>
        <w:t>00万人次</w:t>
      </w:r>
      <w:r>
        <w:rPr>
          <w:rFonts w:hint="eastAsia"/>
          <w:szCs w:val="28"/>
          <w:lang w:bidi="ar"/>
        </w:rPr>
        <w:t>；中国日报网、中国新闻网对主论坛全程直播，并通过甘肃省海外社交平台脸书账号“这里是甘肃（This is Gansu）”“探索甘肃（Explore Gansu）”面向海外受众直播互动。12月22日论坛开幕，人民网、新华网、对主论坛全程直播，人民网甘肃频道首页做焦点图重点推荐，点击量达到95万人次，新华网现场云总计发布实时视频直播2小时11分，跟踪报道42条，累计浏览量641267次。中新网直播观看量达110万人次，省海外社交平台直播累计覆盖人数达10.6万，点赞、评论、转发等互动累计超过1.4万次。香港文汇报、香港商报分别推出论坛专版，并利用国际媒体合作优势，在欧洲侨报、美国新闻网、英国富中传媒、非洲时报、韩国新华网、迪拜新闻网等十余家海外华文媒体安排推送转发。今日头条推送稿件</w:t>
      </w:r>
      <w:r>
        <w:rPr>
          <w:szCs w:val="28"/>
          <w:lang w:bidi="ar"/>
        </w:rPr>
        <w:t>阅读量1146万次，话题#一带一路美丽乡村论坛#阅读量268万，线上精准宣传投放总曝光1299.5万人次；抖音推送视频播放量3578万，收藏、评论、分享累计29万次，话题#美丽乡村论坛在陇南# 播放量达1435万，形成了网络和移动端的传播热潮</w:t>
      </w:r>
      <w:r>
        <w:rPr>
          <w:rFonts w:hint="eastAsia"/>
          <w:szCs w:val="28"/>
          <w:lang w:bidi="ar"/>
        </w:rPr>
        <w:t>。质量指标均达到目标值，</w:t>
      </w:r>
      <w:r>
        <w:rPr>
          <w:rFonts w:hint="eastAsia"/>
          <w:szCs w:val="28"/>
        </w:rPr>
        <w:t>指标分值合计</w:t>
      </w:r>
      <w:r>
        <w:rPr>
          <w:szCs w:val="28"/>
        </w:rPr>
        <w:t>10</w:t>
      </w:r>
      <w:r>
        <w:rPr>
          <w:rFonts w:hint="eastAsia"/>
          <w:szCs w:val="28"/>
        </w:rPr>
        <w:t>分，按评分标准得</w:t>
      </w:r>
      <w:r>
        <w:rPr>
          <w:szCs w:val="28"/>
        </w:rPr>
        <w:t>10</w:t>
      </w:r>
      <w:r>
        <w:rPr>
          <w:rFonts w:hint="eastAsia"/>
          <w:szCs w:val="28"/>
        </w:rPr>
        <w:t>分，得分率</w:t>
      </w:r>
      <w:r>
        <w:rPr>
          <w:szCs w:val="28"/>
        </w:rPr>
        <w:t>100</w:t>
      </w:r>
      <w:r>
        <w:rPr>
          <w:rFonts w:hint="eastAsia"/>
          <w:szCs w:val="28"/>
        </w:rPr>
        <w:t>%。</w:t>
      </w:r>
    </w:p>
    <w:p>
      <w:pPr>
        <w:ind w:firstLine="562"/>
        <w:rPr>
          <w:b/>
          <w:bCs/>
          <w:szCs w:val="28"/>
        </w:rPr>
      </w:pPr>
      <w:r>
        <w:rPr>
          <w:rFonts w:hint="eastAsia"/>
          <w:b/>
          <w:bCs/>
          <w:szCs w:val="28"/>
        </w:rPr>
        <w:t>时效指标：</w:t>
      </w:r>
      <w:r>
        <w:rPr>
          <w:rFonts w:hint="eastAsia"/>
          <w:szCs w:val="28"/>
        </w:rPr>
        <w:t>从2</w:t>
      </w:r>
      <w:r>
        <w:rPr>
          <w:szCs w:val="28"/>
        </w:rPr>
        <w:t>021</w:t>
      </w:r>
      <w:r>
        <w:rPr>
          <w:rFonts w:hint="eastAsia"/>
          <w:szCs w:val="28"/>
        </w:rPr>
        <w:t>年1</w:t>
      </w:r>
      <w:r>
        <w:rPr>
          <w:szCs w:val="28"/>
        </w:rPr>
        <w:t>2</w:t>
      </w:r>
      <w:r>
        <w:rPr>
          <w:rFonts w:hint="eastAsia"/>
          <w:szCs w:val="28"/>
        </w:rPr>
        <w:t>月1</w:t>
      </w:r>
      <w:r>
        <w:rPr>
          <w:szCs w:val="28"/>
        </w:rPr>
        <w:t>6</w:t>
      </w:r>
      <w:r>
        <w:rPr>
          <w:rFonts w:hint="eastAsia"/>
          <w:szCs w:val="28"/>
        </w:rPr>
        <w:t>日</w:t>
      </w:r>
      <w:r>
        <w:rPr>
          <w:szCs w:val="28"/>
        </w:rPr>
        <w:t>陆续发布直播预告、开幕倒计时</w:t>
      </w:r>
      <w:r>
        <w:rPr>
          <w:rFonts w:hint="eastAsia"/>
          <w:szCs w:val="28"/>
        </w:rPr>
        <w:t>直至</w:t>
      </w:r>
      <w:r>
        <w:rPr>
          <w:szCs w:val="28"/>
        </w:rPr>
        <w:t>12月22日论坛开幕</w:t>
      </w:r>
      <w:r>
        <w:rPr>
          <w:rFonts w:hint="eastAsia"/>
          <w:szCs w:val="28"/>
        </w:rPr>
        <w:t>，甘肃日报、省广电总台、甘肃日报报业集团等省属媒体开设倒计时栏，倒计时有效天数7天，宣传周期达到2</w:t>
      </w:r>
      <w:r>
        <w:rPr>
          <w:szCs w:val="28"/>
        </w:rPr>
        <w:t>0</w:t>
      </w:r>
      <w:r>
        <w:rPr>
          <w:rFonts w:hint="eastAsia"/>
          <w:szCs w:val="28"/>
        </w:rPr>
        <w:t>天，新闻报道采写及时，至发布时限未超过当日。指标分值合计</w:t>
      </w:r>
      <w:r>
        <w:rPr>
          <w:szCs w:val="28"/>
        </w:rPr>
        <w:t>4</w:t>
      </w:r>
      <w:r>
        <w:rPr>
          <w:rFonts w:hint="eastAsia"/>
          <w:szCs w:val="28"/>
        </w:rPr>
        <w:t>分，按评分标准得</w:t>
      </w:r>
      <w:r>
        <w:rPr>
          <w:szCs w:val="28"/>
        </w:rPr>
        <w:t>4</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成本指标：</w:t>
      </w:r>
      <w:r>
        <w:rPr>
          <w:rFonts w:hint="eastAsia"/>
          <w:szCs w:val="28"/>
        </w:rPr>
        <w:t>2021年“一带一路”美丽乡村论坛成本控制均在预算范围内。</w:t>
      </w:r>
      <w:r>
        <w:rPr>
          <w:rStyle w:val="24"/>
          <w:rFonts w:hint="eastAsia"/>
          <w:sz w:val="28"/>
          <w:szCs w:val="28"/>
        </w:rPr>
        <w:t>指标</w:t>
      </w:r>
      <w:r>
        <w:rPr>
          <w:rFonts w:hint="eastAsia"/>
          <w:szCs w:val="28"/>
        </w:rPr>
        <w:t>分值合计</w:t>
      </w:r>
      <w:r>
        <w:rPr>
          <w:szCs w:val="28"/>
        </w:rPr>
        <w:t>18</w:t>
      </w:r>
      <w:r>
        <w:rPr>
          <w:rFonts w:hint="eastAsia"/>
          <w:szCs w:val="28"/>
        </w:rPr>
        <w:t>分，按评分标准得</w:t>
      </w:r>
      <w:r>
        <w:rPr>
          <w:szCs w:val="28"/>
        </w:rPr>
        <w:t>18</w:t>
      </w:r>
      <w:r>
        <w:rPr>
          <w:rFonts w:hint="eastAsia"/>
          <w:szCs w:val="28"/>
        </w:rPr>
        <w:t>分，得分率</w:t>
      </w:r>
      <w:r>
        <w:rPr>
          <w:szCs w:val="28"/>
        </w:rPr>
        <w:t>100</w:t>
      </w:r>
      <w:r>
        <w:rPr>
          <w:rFonts w:hint="eastAsia"/>
          <w:szCs w:val="28"/>
        </w:rPr>
        <w:t>%。</w:t>
      </w:r>
    </w:p>
    <w:p>
      <w:pPr>
        <w:ind w:firstLine="560"/>
        <w:rPr>
          <w:b/>
          <w:bCs/>
        </w:rPr>
      </w:pPr>
      <w:r>
        <w:rPr>
          <w:rFonts w:hint="eastAsia"/>
          <w:b/>
          <w:bCs/>
        </w:rPr>
        <w:t>（2）效益指标</w:t>
      </w:r>
    </w:p>
    <w:p>
      <w:pPr>
        <w:ind w:firstLine="560"/>
        <w:rPr>
          <w:szCs w:val="28"/>
          <w:lang w:bidi="ar"/>
        </w:rPr>
      </w:pPr>
      <w:r>
        <w:rPr>
          <w:rFonts w:hint="eastAsia"/>
          <w:szCs w:val="28"/>
          <w:lang w:bidi="ar"/>
        </w:rPr>
        <w:t>效益指标包括社会效益指标、可持续影响指标</w:t>
      </w:r>
      <w:r>
        <w:rPr>
          <w:szCs w:val="28"/>
          <w:lang w:bidi="ar"/>
        </w:rPr>
        <w:t>2</w:t>
      </w:r>
      <w:r>
        <w:rPr>
          <w:rFonts w:hint="eastAsia"/>
          <w:szCs w:val="28"/>
          <w:lang w:bidi="ar"/>
        </w:rPr>
        <w:t>个二级指标，</w:t>
      </w:r>
      <w:r>
        <w:rPr>
          <w:szCs w:val="28"/>
          <w:lang w:bidi="ar"/>
        </w:rPr>
        <w:t>2</w:t>
      </w:r>
      <w:r>
        <w:rPr>
          <w:rFonts w:hint="eastAsia"/>
          <w:szCs w:val="28"/>
          <w:lang w:bidi="ar"/>
        </w:rPr>
        <w:t>个三级指标，指标总分值30分，自评得分30分，得分率100%。指标分析如下：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985"/>
        <w:gridCol w:w="1865"/>
        <w:gridCol w:w="883"/>
        <w:gridCol w:w="745"/>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8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曝光度</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≥1000万人次</w:t>
            </w:r>
          </w:p>
        </w:tc>
        <w:tc>
          <w:tcPr>
            <w:tcW w:w="18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1299.5万人次</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互动量</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≥30万</w:t>
            </w:r>
          </w:p>
        </w:tc>
        <w:tc>
          <w:tcPr>
            <w:tcW w:w="18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35.4万</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15</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8"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8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szCs w:val="28"/>
        </w:rPr>
      </w:pPr>
      <w:r>
        <w:rPr>
          <w:rFonts w:hint="eastAsia"/>
          <w:b/>
          <w:bCs/>
          <w:szCs w:val="28"/>
        </w:rPr>
        <w:t>社会效益指标：</w:t>
      </w:r>
      <w:r>
        <w:rPr>
          <w:rFonts w:hint="eastAsia"/>
          <w:szCs w:val="28"/>
        </w:rPr>
        <w:t>据总体安排，由我部负责邀请、组织人民日报、新华社、中国日报、中新社、香港大公文汇传媒集团、香港商报、甘肃日报、省广电总台、甘肃新媒体集团等中央、香港、省属重点新闻单位做好论坛宣传报道工作，曝光度达到1</w:t>
      </w:r>
      <w:r>
        <w:rPr>
          <w:szCs w:val="28"/>
        </w:rPr>
        <w:t>299.5</w:t>
      </w:r>
      <w:r>
        <w:rPr>
          <w:rFonts w:hint="eastAsia"/>
          <w:szCs w:val="28"/>
        </w:rPr>
        <w:t>万人次。社会效益指标达到目标值，指标分值合计15分，按评分标准得15分，得分率100%。</w:t>
      </w:r>
    </w:p>
    <w:p>
      <w:pPr>
        <w:ind w:firstLine="562"/>
        <w:rPr>
          <w:szCs w:val="28"/>
        </w:rPr>
      </w:pPr>
      <w:r>
        <w:rPr>
          <w:rFonts w:hint="eastAsia"/>
          <w:b/>
          <w:bCs/>
          <w:szCs w:val="28"/>
        </w:rPr>
        <w:t>可持续影响指标：</w:t>
      </w:r>
      <w:r>
        <w:rPr>
          <w:rFonts w:hint="eastAsia"/>
          <w:szCs w:val="28"/>
        </w:rPr>
        <w:t>各大媒体多维度宣传</w:t>
      </w:r>
      <w:r>
        <w:rPr>
          <w:szCs w:val="28"/>
        </w:rPr>
        <w:t>2020“一带一路”美丽乡村论坛会议盛况，并做好网络直播</w:t>
      </w:r>
      <w:r>
        <w:rPr>
          <w:rFonts w:hint="eastAsia"/>
          <w:szCs w:val="28"/>
        </w:rPr>
        <w:t>，互动量达到</w:t>
      </w:r>
      <w:r>
        <w:rPr>
          <w:szCs w:val="28"/>
        </w:rPr>
        <w:t>35.4万。</w:t>
      </w:r>
      <w:r>
        <w:rPr>
          <w:rFonts w:hint="eastAsia"/>
          <w:szCs w:val="28"/>
        </w:rPr>
        <w:t>可持续影响指标达到了目标值，指标分值</w:t>
      </w:r>
      <w:r>
        <w:rPr>
          <w:szCs w:val="28"/>
        </w:rPr>
        <w:t>15</w:t>
      </w:r>
      <w:r>
        <w:rPr>
          <w:rFonts w:hint="eastAsia"/>
          <w:szCs w:val="28"/>
        </w:rPr>
        <w:t>分，按评分标准得15分，得分率100%。</w:t>
      </w:r>
    </w:p>
    <w:p>
      <w:pPr>
        <w:ind w:firstLine="560"/>
        <w:rPr>
          <w:b/>
          <w:bCs/>
        </w:rPr>
      </w:pPr>
      <w:r>
        <w:rPr>
          <w:rFonts w:hint="eastAsia"/>
          <w:b/>
          <w:bCs/>
        </w:rPr>
        <w:t>（3）满意度指标</w:t>
      </w:r>
    </w:p>
    <w:p>
      <w:pPr>
        <w:ind w:firstLine="560"/>
        <w:rPr>
          <w:szCs w:val="28"/>
          <w:lang w:bidi="ar"/>
        </w:rPr>
      </w:pPr>
      <w:r>
        <w:rPr>
          <w:rFonts w:hint="eastAsia"/>
          <w:szCs w:val="28"/>
          <w:lang w:bidi="ar"/>
        </w:rPr>
        <w:t>满意度指标包括人民群众满意度1个三级指标，指标总分值10分，自评得分10分，得分率100%。指标分析如下：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485"/>
        <w:gridCol w:w="1455"/>
        <w:gridCol w:w="996"/>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443"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55"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96" w:type="dxa"/>
            <w:vAlign w:val="center"/>
          </w:tcPr>
          <w:p>
            <w:pPr>
              <w:spacing w:line="240" w:lineRule="auto"/>
              <w:ind w:firstLine="0" w:firstLineChars="0"/>
              <w:jc w:val="center"/>
              <w:rPr>
                <w:b/>
                <w:bCs/>
                <w:sz w:val="24"/>
                <w:szCs w:val="24"/>
              </w:rPr>
            </w:pPr>
            <w:r>
              <w:rPr>
                <w:rFonts w:hint="eastAsia"/>
                <w:b/>
                <w:bCs/>
                <w:sz w:val="24"/>
                <w:szCs w:val="24"/>
              </w:rPr>
              <w:t>分值</w:t>
            </w:r>
          </w:p>
        </w:tc>
        <w:tc>
          <w:tcPr>
            <w:tcW w:w="851" w:type="dxa"/>
            <w:vAlign w:val="center"/>
          </w:tcPr>
          <w:p>
            <w:pPr>
              <w:spacing w:line="240" w:lineRule="auto"/>
              <w:ind w:firstLine="0" w:firstLineChars="0"/>
              <w:jc w:val="center"/>
              <w:rPr>
                <w:b/>
                <w:bCs/>
                <w:sz w:val="24"/>
                <w:szCs w:val="24"/>
              </w:rPr>
            </w:pPr>
            <w:r>
              <w:rPr>
                <w:rFonts w:hint="eastAsia"/>
                <w:b/>
                <w:bCs/>
                <w:sz w:val="24"/>
                <w:szCs w:val="24"/>
              </w:rPr>
              <w:t>得分</w:t>
            </w:r>
          </w:p>
        </w:tc>
        <w:tc>
          <w:tcPr>
            <w:tcW w:w="992"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3" w:type="dxa"/>
            <w:vAlign w:val="center"/>
          </w:tcPr>
          <w:p>
            <w:pPr>
              <w:spacing w:line="240" w:lineRule="auto"/>
              <w:ind w:firstLine="0" w:firstLineChars="0"/>
              <w:rPr>
                <w:rFonts w:hAnsi="宋体"/>
                <w:color w:val="333333"/>
                <w:sz w:val="24"/>
                <w:szCs w:val="24"/>
              </w:rPr>
            </w:pPr>
            <w:r>
              <w:rPr>
                <w:rFonts w:hint="eastAsia"/>
                <w:color w:val="000000"/>
                <w:sz w:val="24"/>
                <w:szCs w:val="24"/>
              </w:rPr>
              <w:t>人民群众满意度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455" w:type="dxa"/>
            <w:vAlign w:val="center"/>
          </w:tcPr>
          <w:p>
            <w:pPr>
              <w:spacing w:line="240" w:lineRule="auto"/>
              <w:ind w:firstLine="0" w:firstLineChars="0"/>
              <w:jc w:val="center"/>
              <w:rPr>
                <w:rFonts w:cs="仿宋_GB2312"/>
                <w:color w:val="000000"/>
                <w:sz w:val="24"/>
                <w:szCs w:val="24"/>
              </w:rPr>
            </w:pPr>
            <w:r>
              <w:rPr>
                <w:rStyle w:val="40"/>
                <w:rFonts w:hint="default" w:ascii="仿宋_GB2312" w:eastAsia="仿宋_GB2312"/>
                <w:sz w:val="24"/>
                <w:szCs w:val="24"/>
              </w:rPr>
              <w:t>≥95%</w:t>
            </w:r>
          </w:p>
        </w:tc>
        <w:tc>
          <w:tcPr>
            <w:tcW w:w="996"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851"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92"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83" w:type="dxa"/>
            <w:gridSpan w:val="3"/>
          </w:tcPr>
          <w:p>
            <w:pPr>
              <w:spacing w:line="240" w:lineRule="auto"/>
              <w:ind w:firstLine="0" w:firstLineChars="0"/>
              <w:jc w:val="center"/>
              <w:rPr>
                <w:b/>
                <w:bCs/>
                <w:sz w:val="24"/>
                <w:szCs w:val="24"/>
              </w:rPr>
            </w:pPr>
            <w:r>
              <w:rPr>
                <w:rFonts w:hint="eastAsia"/>
                <w:b/>
                <w:bCs/>
                <w:sz w:val="24"/>
                <w:szCs w:val="24"/>
              </w:rPr>
              <w:t>合计</w:t>
            </w:r>
          </w:p>
        </w:tc>
        <w:tc>
          <w:tcPr>
            <w:tcW w:w="996" w:type="dxa"/>
            <w:vAlign w:val="center"/>
          </w:tcPr>
          <w:p>
            <w:pPr>
              <w:spacing w:line="240" w:lineRule="auto"/>
              <w:ind w:firstLine="0" w:firstLineChars="0"/>
              <w:jc w:val="center"/>
              <w:rPr>
                <w:b/>
                <w:bCs/>
                <w:sz w:val="24"/>
                <w:szCs w:val="24"/>
              </w:rPr>
            </w:pPr>
            <w:r>
              <w:rPr>
                <w:rFonts w:hint="eastAsia"/>
                <w:b/>
                <w:bCs/>
                <w:sz w:val="24"/>
                <w:szCs w:val="24"/>
              </w:rPr>
              <w:t>10</w:t>
            </w:r>
          </w:p>
        </w:tc>
        <w:tc>
          <w:tcPr>
            <w:tcW w:w="851" w:type="dxa"/>
            <w:vAlign w:val="center"/>
          </w:tcPr>
          <w:p>
            <w:pPr>
              <w:spacing w:line="240" w:lineRule="auto"/>
              <w:ind w:firstLine="0" w:firstLineChars="0"/>
              <w:jc w:val="center"/>
              <w:rPr>
                <w:b/>
                <w:bCs/>
                <w:sz w:val="24"/>
                <w:szCs w:val="24"/>
              </w:rPr>
            </w:pPr>
            <w:r>
              <w:rPr>
                <w:rFonts w:hint="eastAsia"/>
                <w:b/>
                <w:bCs/>
                <w:sz w:val="24"/>
                <w:szCs w:val="24"/>
              </w:rPr>
              <w:t>10</w:t>
            </w:r>
          </w:p>
        </w:tc>
        <w:tc>
          <w:tcPr>
            <w:tcW w:w="992"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cs="仿宋_GB2312"/>
          <w:sz w:val="32"/>
          <w:szCs w:val="32"/>
        </w:rPr>
      </w:pPr>
      <w:r>
        <w:rPr>
          <w:rFonts w:hint="eastAsia" w:ascii="宋体" w:hAnsi="宋体"/>
          <w:b/>
          <w:bCs/>
          <w:color w:val="333333"/>
          <w:szCs w:val="28"/>
        </w:rPr>
        <w:t>满意度指标：</w:t>
      </w:r>
      <w:r>
        <w:rPr>
          <w:rFonts w:hint="eastAsia"/>
          <w:szCs w:val="21"/>
        </w:rPr>
        <w:t>2020“一带一路”美丽乡村论坛宣传工作，综合运用新闻报道、氛围营造、网络推广等形式充分宣传，分会前、会期、会后宣传三个阶段逐次开展，各阶段工作均取得预期成效，各方好评不断，人民群众满意度达到9</w:t>
      </w:r>
      <w:r>
        <w:rPr>
          <w:szCs w:val="21"/>
        </w:rPr>
        <w:t>5</w:t>
      </w:r>
      <w:r>
        <w:rPr>
          <w:rFonts w:hint="eastAsia"/>
          <w:szCs w:val="21"/>
        </w:rPr>
        <w:t>%，达到了预期目标值。指标总分值10分，按评分标准得10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96" w:name="_Toc11504"/>
      <w:r>
        <w:rPr>
          <w:rFonts w:hint="eastAsia"/>
        </w:rPr>
        <w:t>（二十二）项目22－</w:t>
      </w:r>
      <w:r>
        <w:t>2021年“一会一节”省级办会专项经费</w:t>
      </w:r>
      <w:bookmarkEnd w:id="96"/>
    </w:p>
    <w:p>
      <w:pPr>
        <w:pStyle w:val="4"/>
        <w:ind w:firstLine="562"/>
      </w:pPr>
      <w:r>
        <w:rPr>
          <w:rFonts w:hint="eastAsia"/>
        </w:rPr>
        <w:t>1</w:t>
      </w:r>
      <w:r>
        <w:rPr>
          <w:rFonts w:hint="eastAsia" w:hAnsi="宋体"/>
        </w:rPr>
        <w:t>、</w:t>
      </w:r>
      <w:r>
        <w:rPr>
          <w:rFonts w:hint="eastAsia"/>
        </w:rPr>
        <w:t>项目支出预算执行情况</w:t>
      </w:r>
    </w:p>
    <w:p>
      <w:pPr>
        <w:ind w:firstLine="560"/>
        <w:rPr>
          <w:szCs w:val="28"/>
        </w:rPr>
      </w:pPr>
      <w:r>
        <w:rPr>
          <w:szCs w:val="28"/>
        </w:rPr>
        <w:t>2021年“一会一节”省级办会专项经费</w:t>
      </w:r>
      <w:r>
        <w:rPr>
          <w:rFonts w:hint="eastAsia"/>
          <w:szCs w:val="28"/>
        </w:rPr>
        <w:t>项目全年预算数</w:t>
      </w:r>
      <w:r>
        <w:rPr>
          <w:rFonts w:hint="eastAsia"/>
          <w:szCs w:val="28"/>
          <w:lang w:eastAsia="zh-CN"/>
        </w:rPr>
        <w:t>为</w:t>
      </w:r>
      <w:r>
        <w:rPr>
          <w:szCs w:val="28"/>
        </w:rPr>
        <w:t>400</w:t>
      </w:r>
      <w:r>
        <w:rPr>
          <w:rFonts w:hint="eastAsia"/>
          <w:szCs w:val="28"/>
        </w:rPr>
        <w:t>万元，全年支出数</w:t>
      </w:r>
      <w:r>
        <w:rPr>
          <w:szCs w:val="28"/>
        </w:rPr>
        <w:t>399.43</w:t>
      </w:r>
      <w:r>
        <w:rPr>
          <w:rFonts w:hint="eastAsia"/>
          <w:szCs w:val="28"/>
        </w:rPr>
        <w:t>万元，预算执行率</w:t>
      </w:r>
      <w:r>
        <w:rPr>
          <w:szCs w:val="28"/>
        </w:rPr>
        <w:t>99.86%</w:t>
      </w:r>
      <w:r>
        <w:rPr>
          <w:rFonts w:hint="eastAsia"/>
          <w:szCs w:val="28"/>
        </w:rPr>
        <w:t>，指标分值10分，按评分标准得</w:t>
      </w:r>
      <w:r>
        <w:rPr>
          <w:szCs w:val="28"/>
        </w:rPr>
        <w:t>9.99</w:t>
      </w:r>
      <w:r>
        <w:rPr>
          <w:rFonts w:hint="eastAsia"/>
          <w:szCs w:val="28"/>
        </w:rPr>
        <w:t>分，得分率</w:t>
      </w:r>
      <w:r>
        <w:rPr>
          <w:szCs w:val="28"/>
        </w:rPr>
        <w:t>99.9</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99.99</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以习近平新时代中国特色社会主义思想为指导，深入贯彻落实习近平总书记在中央政治局第三十次集体学习时的重要讲话精神和习近平总书记对甘肃重要指示精神，深刻认识“一会一节”对服务“一带一路”建设、扩大甘肃影响、讲好中国故事、增进民心相通的重要意义。坚持以文载道、以文传声、以文化人，坚持国际水准、国内一流、中国特色，高标准谋划、高起点筹备、高水平组织，切实把“一会一节”打造成文化交流的盛宴、形象展示的窗口、助推发展的载体。紧扣“交响丝路</w:t>
      </w:r>
      <w:r>
        <w:rPr>
          <w:szCs w:val="28"/>
        </w:rPr>
        <w:t>文博天下”这一主题，组织协调中央媒体、境外媒体、省内媒体、网络媒体及融媒体平台</w:t>
      </w:r>
      <w:r>
        <w:rPr>
          <w:rFonts w:hint="eastAsia"/>
          <w:szCs w:val="28"/>
        </w:rPr>
        <w:t>，深入报道“一会一节”开闭幕式、论坛、展览展会、文艺演出及各分项活动，全面展示节会盛况和我省良好的发展成就，构筑铺天盖地的新闻宣传格局和主动稳妥的舆情管控体系，全面提升“一会一节”全球影响力。</w:t>
      </w:r>
    </w:p>
    <w:p>
      <w:pPr>
        <w:ind w:firstLine="562"/>
        <w:rPr>
          <w:szCs w:val="28"/>
        </w:rPr>
      </w:pPr>
      <w:r>
        <w:rPr>
          <w:rFonts w:hint="eastAsia"/>
          <w:b/>
          <w:bCs/>
          <w:szCs w:val="28"/>
        </w:rPr>
        <w:t>实际完成情况：</w:t>
      </w:r>
      <w:r>
        <w:rPr>
          <w:rFonts w:hint="eastAsia"/>
          <w:szCs w:val="28"/>
        </w:rPr>
        <w:t>通过内外联动、媒体融合、平台互补，高密度、大声势、多角度精心组织宣传，已圆满完成“一会一节”对外宣传工作，营造了浓厚的社会氛围、产生了良好的宣传效果、形成了巨大的社会影响。</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个二级指标，8个三级指标，指标总分值50分，自评得分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1380"/>
        <w:gridCol w:w="1168"/>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邀请媒体数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rPr>
              <w:t>≥45家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45家</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邀请记者人数</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≥80人</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80人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境内外平台多语言刊发稿件完成率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刊发稿件审读达标率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宣传材料验收合格率</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刊发稿件及时性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宣传活动开展及时性</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成本控制情况</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在预算范围内</w:t>
            </w:r>
          </w:p>
        </w:tc>
        <w:tc>
          <w:tcPr>
            <w:tcW w:w="11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widowControl/>
        <w:snapToGrid w:val="0"/>
        <w:spacing w:line="660" w:lineRule="exact"/>
        <w:ind w:firstLine="562"/>
        <w:jc w:val="left"/>
        <w:rPr>
          <w:szCs w:val="28"/>
          <w:lang w:bidi="ar"/>
        </w:rPr>
      </w:pPr>
      <w:r>
        <w:rPr>
          <w:rFonts w:hint="eastAsia"/>
          <w:b/>
          <w:bCs/>
          <w:szCs w:val="28"/>
          <w:lang w:bidi="ar"/>
        </w:rPr>
        <w:t>数量指标：</w:t>
      </w:r>
      <w:r>
        <w:rPr>
          <w:rFonts w:hint="eastAsia"/>
          <w:szCs w:val="28"/>
          <w:lang w:bidi="ar"/>
        </w:rPr>
        <w:t>本届“一会一节”以“交响丝路、文博天下”为主题，采用线上线下相结合方式举办，邀请媒体4</w:t>
      </w:r>
      <w:r>
        <w:rPr>
          <w:szCs w:val="28"/>
          <w:lang w:bidi="ar"/>
        </w:rPr>
        <w:t>5</w:t>
      </w:r>
      <w:r>
        <w:rPr>
          <w:rFonts w:hint="eastAsia"/>
          <w:szCs w:val="28"/>
          <w:lang w:bidi="ar"/>
        </w:rPr>
        <w:t>家，邀请记者人数达到8</w:t>
      </w:r>
      <w:r>
        <w:rPr>
          <w:szCs w:val="28"/>
          <w:lang w:bidi="ar"/>
        </w:rPr>
        <w:t>0</w:t>
      </w:r>
      <w:r>
        <w:rPr>
          <w:rFonts w:hint="eastAsia"/>
          <w:szCs w:val="28"/>
          <w:lang w:bidi="ar"/>
        </w:rPr>
        <w:t>人。数量指标均达到目标值，指标分值合计</w:t>
      </w:r>
      <w:r>
        <w:rPr>
          <w:rFonts w:hint="eastAsia"/>
          <w:szCs w:val="28"/>
          <w:lang w:val="en-US" w:eastAsia="zh-CN" w:bidi="ar"/>
        </w:rPr>
        <w:t>12</w:t>
      </w:r>
      <w:r>
        <w:rPr>
          <w:rFonts w:hint="eastAsia"/>
          <w:szCs w:val="28"/>
          <w:lang w:bidi="ar"/>
        </w:rPr>
        <w:t>分，按评分标准得</w:t>
      </w:r>
      <w:r>
        <w:rPr>
          <w:rFonts w:hint="eastAsia"/>
          <w:szCs w:val="28"/>
          <w:lang w:val="en-US" w:eastAsia="zh-CN" w:bidi="ar"/>
        </w:rPr>
        <w:t>12</w:t>
      </w:r>
      <w:r>
        <w:rPr>
          <w:rFonts w:hint="eastAsia"/>
          <w:szCs w:val="28"/>
          <w:lang w:bidi="ar"/>
        </w:rPr>
        <w:t>分，得分率</w:t>
      </w:r>
      <w:r>
        <w:rPr>
          <w:szCs w:val="28"/>
          <w:lang w:bidi="ar"/>
        </w:rPr>
        <w:t>100</w:t>
      </w:r>
      <w:r>
        <w:rPr>
          <w:rFonts w:hint="eastAsia"/>
          <w:szCs w:val="28"/>
          <w:lang w:bidi="ar"/>
        </w:rPr>
        <w:t>%。</w:t>
      </w:r>
    </w:p>
    <w:p>
      <w:pPr>
        <w:ind w:firstLine="562"/>
        <w:rPr>
          <w:szCs w:val="28"/>
        </w:rPr>
      </w:pPr>
      <w:r>
        <w:rPr>
          <w:rFonts w:hint="eastAsia"/>
          <w:b/>
          <w:bCs/>
          <w:szCs w:val="28"/>
        </w:rPr>
        <w:t>质量指标：</w:t>
      </w:r>
      <w:r>
        <w:rPr>
          <w:rFonts w:hint="eastAsia"/>
          <w:szCs w:val="28"/>
        </w:rPr>
        <w:t>本届“一会一节”，刊发稿件审读达标率及宣传材料验收合格率均为1</w:t>
      </w:r>
      <w:r>
        <w:rPr>
          <w:szCs w:val="28"/>
        </w:rPr>
        <w:t>00</w:t>
      </w:r>
      <w:r>
        <w:rPr>
          <w:rFonts w:hint="eastAsia"/>
          <w:szCs w:val="28"/>
        </w:rPr>
        <w:t>%</w:t>
      </w:r>
      <w:r>
        <w:rPr>
          <w:rFonts w:hint="eastAsia"/>
          <w:szCs w:val="28"/>
          <w:lang w:val="en-US" w:eastAsia="zh-CN"/>
        </w:rPr>
        <w:t>,</w:t>
      </w:r>
      <w:r>
        <w:rPr>
          <w:rFonts w:hint="eastAsia"/>
          <w:szCs w:val="28"/>
          <w:lang w:bidi="ar"/>
        </w:rPr>
        <w:t>完成境内外平台多语言刊发稿件</w:t>
      </w:r>
      <w:r>
        <w:rPr>
          <w:rFonts w:hint="eastAsia"/>
          <w:szCs w:val="28"/>
        </w:rPr>
        <w:t>。质量指标均达到目标值，指标分值合计</w:t>
      </w:r>
      <w:r>
        <w:rPr>
          <w:rFonts w:hint="eastAsia"/>
          <w:szCs w:val="28"/>
          <w:lang w:val="en-US" w:eastAsia="zh-CN"/>
        </w:rPr>
        <w:t>23</w:t>
      </w:r>
      <w:r>
        <w:rPr>
          <w:rFonts w:hint="eastAsia"/>
          <w:szCs w:val="28"/>
        </w:rPr>
        <w:t>分，按评分标准得</w:t>
      </w:r>
      <w:r>
        <w:rPr>
          <w:rFonts w:hint="eastAsia"/>
          <w:szCs w:val="28"/>
          <w:lang w:val="en-US" w:eastAsia="zh-CN"/>
        </w:rPr>
        <w:t>23</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szCs w:val="28"/>
        </w:rPr>
        <w:t>本届</w:t>
      </w:r>
      <w:r>
        <w:rPr>
          <w:rFonts w:hint="eastAsia"/>
          <w:szCs w:val="28"/>
        </w:rPr>
        <w:t>“一会一节”，能够及时开展宣传活动，刊发稿件工作及时完成。各项指标均达到了目标值。指标分值合计</w:t>
      </w:r>
      <w:r>
        <w:rPr>
          <w:szCs w:val="28"/>
        </w:rPr>
        <w:t>10</w:t>
      </w:r>
      <w:r>
        <w:rPr>
          <w:rFonts w:hint="eastAsia"/>
          <w:szCs w:val="28"/>
        </w:rPr>
        <w:t>分，按评分标准得</w:t>
      </w:r>
      <w:r>
        <w:rPr>
          <w:szCs w:val="28"/>
        </w:rPr>
        <w:t>10</w:t>
      </w:r>
      <w:r>
        <w:rPr>
          <w:rFonts w:hint="eastAsia"/>
          <w:szCs w:val="28"/>
        </w:rPr>
        <w:t>分，得分率</w:t>
      </w:r>
      <w:r>
        <w:rPr>
          <w:szCs w:val="28"/>
        </w:rPr>
        <w:t>100</w:t>
      </w:r>
      <w:r>
        <w:rPr>
          <w:rFonts w:hint="eastAsia"/>
          <w:szCs w:val="28"/>
        </w:rPr>
        <w:t>%。</w:t>
      </w:r>
    </w:p>
    <w:p>
      <w:pPr>
        <w:spacing w:after="120"/>
        <w:ind w:firstLine="562"/>
        <w:rPr>
          <w:b/>
          <w:bCs/>
        </w:rPr>
      </w:pPr>
      <w:r>
        <w:rPr>
          <w:rFonts w:hint="eastAsia"/>
          <w:b/>
          <w:bCs/>
        </w:rPr>
        <w:t>成本指标：</w:t>
      </w:r>
      <w:r>
        <w:t>本届</w:t>
      </w:r>
      <w:r>
        <w:rPr>
          <w:rFonts w:hint="eastAsia"/>
        </w:rPr>
        <w:t>“一会一节”成本控制情况均在预算范围内。指标分值5分，按评分标准得5分，得分率</w:t>
      </w:r>
      <w:r>
        <w:t>100</w:t>
      </w:r>
      <w:r>
        <w:rPr>
          <w:rFonts w:hint="eastAsia"/>
        </w:rPr>
        <w:t>%。</w:t>
      </w:r>
    </w:p>
    <w:p>
      <w:pPr>
        <w:ind w:firstLine="560"/>
        <w:rPr>
          <w:b/>
          <w:bCs/>
          <w:szCs w:val="28"/>
        </w:rPr>
      </w:pPr>
      <w:r>
        <w:rPr>
          <w:rFonts w:hint="eastAsia"/>
          <w:b/>
          <w:bCs/>
          <w:szCs w:val="28"/>
        </w:rPr>
        <w:t>（2）效益指标</w:t>
      </w:r>
    </w:p>
    <w:p>
      <w:pPr>
        <w:ind w:firstLine="560"/>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2</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7"/>
        <w:gridCol w:w="975"/>
        <w:gridCol w:w="995"/>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8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9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提升“一会一节”全球影响力</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提升</w:t>
            </w:r>
          </w:p>
        </w:tc>
        <w:tc>
          <w:tcPr>
            <w:tcW w:w="9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新闻媒体宣传内外联动机制健全性</w:t>
            </w:r>
          </w:p>
        </w:tc>
        <w:tc>
          <w:tcPr>
            <w:tcW w:w="9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健全</w:t>
            </w:r>
          </w:p>
        </w:tc>
        <w:tc>
          <w:tcPr>
            <w:tcW w:w="9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b/>
                <w:bCs/>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spacing w:after="120"/>
        <w:ind w:firstLine="562"/>
        <w:rPr>
          <w:lang w:bidi="ar"/>
        </w:rPr>
      </w:pPr>
      <w:r>
        <w:rPr>
          <w:rFonts w:hint="eastAsia"/>
          <w:b/>
          <w:bCs/>
          <w:lang w:bidi="ar"/>
        </w:rPr>
        <w:t>社会效益指标：</w:t>
      </w:r>
      <w:r>
        <w:rPr>
          <w:rFonts w:hint="eastAsia"/>
          <w:lang w:bidi="ar"/>
        </w:rPr>
        <w:t>通过内外联动、媒体融合、平台互补，高密度、大声势、多角度精心组织宣传，已圆满完成“一会一节”对外宣传工作，营造了浓厚的社会氛围、产生了良好的宣传效果、提升了“一会一节”全球影响力。社会效益指标达到了目标值，指标分值</w:t>
      </w:r>
      <w:r>
        <w:rPr>
          <w:lang w:bidi="ar"/>
        </w:rPr>
        <w:t>15</w:t>
      </w:r>
      <w:r>
        <w:rPr>
          <w:rFonts w:hint="eastAsia"/>
          <w:lang w:bidi="ar"/>
        </w:rPr>
        <w:t>分，按评分标准得</w:t>
      </w:r>
      <w:r>
        <w:rPr>
          <w:lang w:bidi="ar"/>
        </w:rPr>
        <w:t>15</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我部组织协调中央媒体、境外媒体、省内媒体、网络媒体及融媒体平台，深入报道“一会一节”开闭幕式、论坛、展览展会、文艺演出及各分项活动，全面展示节会盛况和我省良好的发展成就，构筑铺天盖地的新闻宣传格局和主动稳妥的舆情管控体系，建立健全了新闻媒体宣传内外联动机制。可持续影响指标达到了目标值，指标分值</w:t>
      </w:r>
      <w:r>
        <w:rPr>
          <w:szCs w:val="28"/>
        </w:rPr>
        <w:t>15</w:t>
      </w:r>
      <w:r>
        <w:rPr>
          <w:rFonts w:hint="eastAsia"/>
          <w:szCs w:val="28"/>
        </w:rPr>
        <w:t>分，按评分标准得</w:t>
      </w:r>
      <w:r>
        <w:rPr>
          <w:szCs w:val="28"/>
        </w:rPr>
        <w:t>15</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满意度指标包括参会人员满意度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1655"/>
        <w:gridCol w:w="1559"/>
        <w:gridCol w:w="850"/>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6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65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0"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参会人员满意度</w:t>
            </w:r>
          </w:p>
        </w:tc>
        <w:tc>
          <w:tcPr>
            <w:tcW w:w="165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559"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50"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4" w:type="dxa"/>
            <w:gridSpan w:val="3"/>
          </w:tcPr>
          <w:p>
            <w:pPr>
              <w:spacing w:line="240" w:lineRule="auto"/>
              <w:ind w:firstLine="0" w:firstLineChars="0"/>
              <w:jc w:val="center"/>
              <w:rPr>
                <w:b/>
                <w:bCs/>
                <w:sz w:val="24"/>
                <w:szCs w:val="24"/>
              </w:rPr>
            </w:pPr>
            <w:r>
              <w:rPr>
                <w:rFonts w:hint="eastAsia"/>
                <w:b/>
                <w:bCs/>
                <w:sz w:val="24"/>
                <w:szCs w:val="24"/>
              </w:rPr>
              <w:t>合计</w:t>
            </w:r>
          </w:p>
        </w:tc>
        <w:tc>
          <w:tcPr>
            <w:tcW w:w="850"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“一会一节”的成功举办</w:t>
      </w:r>
      <w:r>
        <w:rPr>
          <w:rFonts w:hint="eastAsia" w:cs="仿宋_GB2312"/>
          <w:color w:val="333333"/>
          <w:szCs w:val="28"/>
        </w:rPr>
        <w:t>为参会人员不断做好服务并获得了一致好评，参会人员满意度达到9</w:t>
      </w:r>
      <w:r>
        <w:rPr>
          <w:rFonts w:cs="仿宋_GB2312"/>
          <w:color w:val="333333"/>
          <w:szCs w:val="28"/>
        </w:rPr>
        <w:t>5%</w:t>
      </w:r>
      <w:r>
        <w:rPr>
          <w:rFonts w:hint="eastAsia"/>
          <w:szCs w:val="21"/>
        </w:rPr>
        <w:t>，该项指标达到了预期目标值。满意度指标分值10分，按评分标准得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ind w:firstLine="560"/>
      </w:pPr>
      <w:r>
        <w:rPr>
          <w:rFonts w:hint="eastAsia"/>
        </w:rPr>
        <w:t>无。</w:t>
      </w:r>
    </w:p>
    <w:p>
      <w:pPr>
        <w:pStyle w:val="3"/>
        <w:ind w:firstLine="643"/>
      </w:pPr>
      <w:bookmarkStart w:id="97" w:name="_Toc12631"/>
      <w:r>
        <w:rPr>
          <w:rFonts w:hint="eastAsia"/>
        </w:rPr>
        <w:t>（二十三）项目23－党史学习教育专项补助经费</w:t>
      </w:r>
      <w:bookmarkEnd w:id="97"/>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党史学习教育专项补助经费项目全年预算数</w:t>
      </w:r>
      <w:r>
        <w:rPr>
          <w:rFonts w:hint="eastAsia"/>
          <w:szCs w:val="28"/>
          <w:lang w:val="en-US" w:eastAsia="zh-CN"/>
        </w:rPr>
        <w:t>500</w:t>
      </w:r>
      <w:r>
        <w:rPr>
          <w:rFonts w:hint="eastAsia"/>
          <w:szCs w:val="28"/>
        </w:rPr>
        <w:t>万元，全年支出数</w:t>
      </w:r>
      <w:r>
        <w:rPr>
          <w:rFonts w:hint="eastAsia"/>
          <w:szCs w:val="28"/>
          <w:lang w:val="en-US" w:eastAsia="zh-CN"/>
        </w:rPr>
        <w:t>439.67</w:t>
      </w:r>
      <w:r>
        <w:rPr>
          <w:rFonts w:hint="eastAsia"/>
          <w:szCs w:val="28"/>
        </w:rPr>
        <w:t>万元，预算执行率</w:t>
      </w:r>
      <w:r>
        <w:rPr>
          <w:rFonts w:hint="eastAsia"/>
          <w:szCs w:val="28"/>
          <w:lang w:val="en-US" w:eastAsia="zh-CN"/>
        </w:rPr>
        <w:t>87.93</w:t>
      </w:r>
      <w:r>
        <w:rPr>
          <w:szCs w:val="28"/>
        </w:rPr>
        <w:t>%</w:t>
      </w:r>
      <w:r>
        <w:rPr>
          <w:rFonts w:hint="eastAsia"/>
          <w:szCs w:val="28"/>
        </w:rPr>
        <w:t>，指标分值10分，按评分标准得</w:t>
      </w:r>
      <w:r>
        <w:rPr>
          <w:rFonts w:hint="eastAsia"/>
          <w:szCs w:val="28"/>
          <w:lang w:val="en-US" w:eastAsia="zh-CN"/>
        </w:rPr>
        <w:t>8.79</w:t>
      </w:r>
      <w:r>
        <w:rPr>
          <w:rFonts w:hint="eastAsia"/>
          <w:szCs w:val="28"/>
        </w:rPr>
        <w:t>分，得分率</w:t>
      </w:r>
      <w:r>
        <w:rPr>
          <w:rFonts w:hint="eastAsia"/>
          <w:szCs w:val="28"/>
          <w:lang w:val="en-US" w:eastAsia="zh-CN"/>
        </w:rPr>
        <w:t>87.9</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rFonts w:hint="eastAsia"/>
          <w:szCs w:val="28"/>
          <w:lang w:val="en-US" w:eastAsia="zh-CN"/>
        </w:rPr>
        <w:t>98.79</w:t>
      </w:r>
      <w:r>
        <w:rPr>
          <w:rFonts w:hint="eastAsia"/>
          <w:szCs w:val="28"/>
        </w:rPr>
        <w:t>分，自评结果为“优”。主要任务完成情况分析如下：</w:t>
      </w:r>
    </w:p>
    <w:p>
      <w:pPr>
        <w:ind w:firstLine="562"/>
        <w:rPr>
          <w:szCs w:val="28"/>
        </w:rPr>
      </w:pPr>
      <w:r>
        <w:rPr>
          <w:rFonts w:hint="eastAsia"/>
          <w:b/>
          <w:bCs/>
          <w:szCs w:val="28"/>
        </w:rPr>
        <w:t>预期目标：</w:t>
      </w:r>
      <w:r>
        <w:rPr>
          <w:rFonts w:hint="eastAsia"/>
          <w:szCs w:val="28"/>
        </w:rPr>
        <w:t>深入贯彻落实习近平总书记在党史学习教育动员大会上的重要讲话精神，按照《中共中央关于在全党开展党史学习教育的通知》要求，扎实推动各项工作落实落细，真正做到学党史，悟思想，办实事，开新局。</w:t>
      </w:r>
    </w:p>
    <w:p>
      <w:pPr>
        <w:ind w:firstLine="562"/>
        <w:rPr>
          <w:szCs w:val="28"/>
        </w:rPr>
      </w:pPr>
      <w:r>
        <w:rPr>
          <w:rFonts w:hint="eastAsia"/>
          <w:b/>
          <w:bCs/>
          <w:szCs w:val="28"/>
        </w:rPr>
        <w:t>实际完成情况：</w:t>
      </w:r>
      <w:r>
        <w:rPr>
          <w:rFonts w:hint="eastAsia"/>
          <w:szCs w:val="28"/>
        </w:rPr>
        <w:t>为了深入贯彻落实习近平总书记在党史学习教育动员大会上的重要讲话精神，2021年我部按照《中共中央关于在全党开展党史学习教育的通知》要求，扎实推动我省党史学习教育活动各项工作落实落细，真正做到学党史，悟思想，办实事，开新局。各项工作顺利开展，组织召开各类重要会议10余场，编印学习辅助教材0.5万册，党史学习教育成效显著，成果不断巩固，整体绩效目标已实现，完成效果良好。</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产出指标包括数量指标、质量指标、时效指标和成本指标4个二级指标，9个三级指标，指标总分值50分，自评得分50分，得分率100%。指标分析如下：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5"/>
        <w:gridCol w:w="1140"/>
        <w:gridCol w:w="1025"/>
        <w:gridCol w:w="765"/>
        <w:gridCol w:w="81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召开全省党史学习教育总结会议、领导小组及办公室各组和巡回指导组会议</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highlight w:val="yellow"/>
              </w:rPr>
            </w:pPr>
            <w:r>
              <w:rPr>
                <w:rFonts w:hint="eastAsia"/>
                <w:color w:val="000000"/>
                <w:sz w:val="24"/>
                <w:szCs w:val="24"/>
                <w:highlight w:val="none"/>
                <w:lang w:eastAsia="zh-CN"/>
              </w:rPr>
              <w:t>≥</w:t>
            </w:r>
            <w:r>
              <w:rPr>
                <w:rFonts w:hint="eastAsia"/>
                <w:color w:val="000000"/>
                <w:sz w:val="24"/>
                <w:szCs w:val="24"/>
                <w:highlight w:val="none"/>
              </w:rPr>
              <w:t>10次</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党史学习教育培训完成率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编印学习辅导材料</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lang w:eastAsia="zh-CN"/>
              </w:rPr>
              <w:t>＞</w:t>
            </w:r>
            <w:r>
              <w:rPr>
                <w:rFonts w:hint="eastAsia"/>
                <w:color w:val="000000"/>
                <w:sz w:val="24"/>
                <w:szCs w:val="24"/>
              </w:rPr>
              <w:t>0.5万册</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0.5万册</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党史学习教育培训考核通过率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材料印制合格率</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传达中央党史学习教育领导小组有关精神和要求及时性</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党史学习教育“我为群众办实事”实践活动开展及时性</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材料印制及时性</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000000"/>
                <w:sz w:val="24"/>
                <w:szCs w:val="24"/>
              </w:rPr>
            </w:pPr>
            <w:r>
              <w:rPr>
                <w:rFonts w:hint="eastAsia" w:ascii="宋体" w:hAnsi="宋体"/>
                <w:color w:val="000000"/>
                <w:sz w:val="24"/>
                <w:szCs w:val="24"/>
              </w:rPr>
              <w:t>成本控制情况</w:t>
            </w:r>
          </w:p>
        </w:tc>
        <w:tc>
          <w:tcPr>
            <w:tcW w:w="11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10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5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color w:val="FF0000"/>
          <w:lang w:bidi="ar"/>
        </w:rPr>
      </w:pPr>
      <w:r>
        <w:rPr>
          <w:rFonts w:hint="eastAsia"/>
          <w:b/>
          <w:bCs/>
          <w:lang w:bidi="ar"/>
        </w:rPr>
        <w:t>数量指标：</w:t>
      </w:r>
      <w:r>
        <w:rPr>
          <w:rFonts w:hint="eastAsia"/>
          <w:lang w:bidi="ar"/>
        </w:rPr>
        <w:t>根据中央党史学习教育领导小组和领导小组办公室以及省委有关要求，组织召开全省党史学习教育动员大会、主要负责同志座谈会、评估会议、总结会议、省委党史学习教育领导小组及办公室会议以及巡回指导组培训会议等重要会议10次以上，编印学习辅导材料0.5万册。数量指标均达到目标值，指标分值合计</w:t>
      </w:r>
      <w:r>
        <w:rPr>
          <w:rFonts w:hint="eastAsia"/>
          <w:lang w:val="en-US" w:eastAsia="zh-CN" w:bidi="ar"/>
        </w:rPr>
        <w:t>11</w:t>
      </w:r>
      <w:r>
        <w:rPr>
          <w:rFonts w:hint="eastAsia"/>
          <w:lang w:bidi="ar"/>
        </w:rPr>
        <w:t>分，按评分标准得</w:t>
      </w:r>
      <w:r>
        <w:rPr>
          <w:rFonts w:hint="eastAsia"/>
          <w:lang w:val="en-US" w:eastAsia="zh-CN" w:bidi="ar"/>
        </w:rPr>
        <w:t>11</w:t>
      </w:r>
      <w:r>
        <w:rPr>
          <w:rFonts w:hint="eastAsia"/>
          <w:lang w:bidi="ar"/>
        </w:rPr>
        <w:t>分，得分率100%。</w:t>
      </w:r>
    </w:p>
    <w:p>
      <w:pPr>
        <w:ind w:firstLine="562"/>
        <w:rPr>
          <w:w w:val="95"/>
        </w:rPr>
      </w:pPr>
      <w:r>
        <w:rPr>
          <w:rFonts w:hint="eastAsia"/>
          <w:b/>
          <w:bCs/>
        </w:rPr>
        <w:t>质量指标：</w:t>
      </w:r>
      <w:r>
        <w:rPr>
          <w:rFonts w:hint="eastAsia"/>
          <w:w w:val="95"/>
        </w:rPr>
        <w:t>2021年我部积极组织党史学习教育培训工作，全年党史学习教育培训考核通过率达100%；制定省委印刷厂负责材料印制工作，材料印制合格率达100%</w:t>
      </w:r>
      <w:r>
        <w:rPr>
          <w:rFonts w:hint="eastAsia"/>
          <w:w w:val="95"/>
          <w:lang w:bidi="ar"/>
        </w:rPr>
        <w:t>，党史学习教育培训完成率为100%</w:t>
      </w:r>
      <w:r>
        <w:rPr>
          <w:rFonts w:hint="eastAsia"/>
          <w:w w:val="95"/>
        </w:rPr>
        <w:t>。质量指标均达到目标值，指标分值合计</w:t>
      </w:r>
      <w:r>
        <w:rPr>
          <w:rFonts w:hint="eastAsia"/>
          <w:w w:val="95"/>
          <w:lang w:val="en-US" w:eastAsia="zh-CN"/>
        </w:rPr>
        <w:t>24</w:t>
      </w:r>
      <w:r>
        <w:rPr>
          <w:rFonts w:hint="eastAsia"/>
          <w:w w:val="95"/>
        </w:rPr>
        <w:t>分，按评分标准得</w:t>
      </w:r>
      <w:r>
        <w:rPr>
          <w:rFonts w:hint="eastAsia"/>
          <w:w w:val="95"/>
          <w:lang w:val="en-US" w:eastAsia="zh-CN"/>
        </w:rPr>
        <w:t>24</w:t>
      </w:r>
      <w:r>
        <w:rPr>
          <w:rFonts w:hint="eastAsia"/>
          <w:w w:val="95"/>
        </w:rPr>
        <w:t>分，得分率</w:t>
      </w:r>
      <w:r>
        <w:rPr>
          <w:w w:val="95"/>
        </w:rPr>
        <w:t>100</w:t>
      </w:r>
      <w:r>
        <w:rPr>
          <w:rFonts w:hint="eastAsia"/>
          <w:w w:val="95"/>
        </w:rPr>
        <w:t>%。</w:t>
      </w:r>
    </w:p>
    <w:p>
      <w:pPr>
        <w:ind w:firstLine="562"/>
        <w:rPr>
          <w:szCs w:val="28"/>
        </w:rPr>
      </w:pPr>
      <w:r>
        <w:rPr>
          <w:rFonts w:hint="eastAsia"/>
          <w:b/>
          <w:bCs/>
          <w:szCs w:val="28"/>
        </w:rPr>
        <w:t>时效指标：</w:t>
      </w:r>
      <w:r>
        <w:rPr>
          <w:rFonts w:hint="eastAsia"/>
          <w:szCs w:val="28"/>
        </w:rPr>
        <w:t>2021年我部根据年度工作计划完成了传达中央党史学习教育领导小组有关精神和要求、党史学习教育“我为群众办实事”实践活动、印制材料等工作，各项工作均在规定时间内完成。时效指标均达到了预期目标值，指标分值合计12分，按评分标准得12分，得分率100%。</w:t>
      </w:r>
    </w:p>
    <w:p>
      <w:pPr>
        <w:ind w:firstLine="562"/>
        <w:rPr>
          <w:szCs w:val="28"/>
        </w:rPr>
      </w:pPr>
      <w:r>
        <w:rPr>
          <w:rFonts w:hint="eastAsia"/>
          <w:b/>
          <w:bCs/>
          <w:szCs w:val="28"/>
        </w:rPr>
        <w:t>成本指标：</w:t>
      </w:r>
      <w:r>
        <w:rPr>
          <w:rFonts w:hint="eastAsia"/>
          <w:szCs w:val="28"/>
        </w:rPr>
        <w:t>2021年党史学习教育专项补助经费全年预算资金为</w:t>
      </w:r>
      <w:r>
        <w:rPr>
          <w:rFonts w:hint="eastAsia"/>
          <w:szCs w:val="28"/>
          <w:lang w:val="en-US" w:eastAsia="zh-CN"/>
        </w:rPr>
        <w:t>500</w:t>
      </w:r>
      <w:r>
        <w:rPr>
          <w:rFonts w:hint="eastAsia"/>
          <w:szCs w:val="28"/>
        </w:rPr>
        <w:t>万元，实际支出</w:t>
      </w:r>
      <w:r>
        <w:rPr>
          <w:rFonts w:hint="eastAsia"/>
          <w:szCs w:val="28"/>
          <w:lang w:val="en-US" w:eastAsia="zh-CN"/>
        </w:rPr>
        <w:t>439.67</w:t>
      </w:r>
      <w:r>
        <w:rPr>
          <w:rFonts w:hint="eastAsia"/>
          <w:szCs w:val="28"/>
        </w:rPr>
        <w:t>万元，无超预算开支，成本控制在预算范围内，达到了预期目标值。</w:t>
      </w:r>
      <w:r>
        <w:rPr>
          <w:rStyle w:val="24"/>
          <w:rFonts w:hint="eastAsia"/>
          <w:sz w:val="28"/>
          <w:szCs w:val="28"/>
        </w:rPr>
        <w:t>指标</w:t>
      </w:r>
      <w:r>
        <w:rPr>
          <w:rFonts w:hint="eastAsia"/>
          <w:szCs w:val="28"/>
        </w:rPr>
        <w:t>分值3分，按评分标准得3分，得分率100%。</w:t>
      </w:r>
    </w:p>
    <w:p>
      <w:pPr>
        <w:ind w:firstLine="560"/>
        <w:rPr>
          <w:szCs w:val="28"/>
        </w:rPr>
      </w:pPr>
      <w:r>
        <w:rPr>
          <w:rFonts w:hint="eastAsia"/>
          <w:b/>
          <w:bCs/>
          <w:szCs w:val="28"/>
        </w:rPr>
        <w:t>（2）效益指标</w:t>
      </w:r>
    </w:p>
    <w:p>
      <w:pPr>
        <w:ind w:firstLine="560"/>
      </w:pPr>
      <w:r>
        <w:rPr>
          <w:rFonts w:hint="eastAsia"/>
          <w:szCs w:val="28"/>
          <w:lang w:bidi="ar"/>
        </w:rPr>
        <w:t>效益指标包括社会效益指标和可持续影响指标</w:t>
      </w:r>
      <w:r>
        <w:rPr>
          <w:szCs w:val="28"/>
          <w:lang w:bidi="ar"/>
        </w:rPr>
        <w:t>2</w:t>
      </w:r>
      <w:r>
        <w:rPr>
          <w:rFonts w:hint="eastAsia"/>
          <w:szCs w:val="28"/>
          <w:lang w:bidi="ar"/>
        </w:rPr>
        <w:t>个二级指标，5个三级指标，指标总分值30分，自评得分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559"/>
        <w:gridCol w:w="1559"/>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保障党史学习教育活动有序开展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有效保障</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提高全省党员干部的理论水平</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有效提高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党史学习教育“我为群众办实事”实践活动全省市区县覆盖率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党史学习教育学践联动机制健全性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党史学习教育上下联动机制健全性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2021年我部扎实推动我省党史学习教育活动各项工作落实落细，真正做到学党史，悟思想，办实事，开新局，各项工作顺利开展，党史学习教育成效显著，成果不断巩固，党史学习教育活动有序开展，全省党员干部的理论水平得到进一步提升，党史学习教育“我为群众办实事”实践活动全省市区县覆盖率为100%。社会效益指标均达到目标值。指标分值合计15分，按评分标准得15分，得分率</w:t>
      </w:r>
      <w:r>
        <w:rPr>
          <w:szCs w:val="28"/>
          <w:lang w:bidi="ar"/>
        </w:rPr>
        <w:t>100</w:t>
      </w:r>
      <w:r>
        <w:rPr>
          <w:rFonts w:hint="eastAsia"/>
          <w:szCs w:val="28"/>
          <w:lang w:bidi="ar"/>
        </w:rPr>
        <w:t>%。</w:t>
      </w:r>
    </w:p>
    <w:p>
      <w:pPr>
        <w:ind w:firstLine="562"/>
        <w:rPr>
          <w:szCs w:val="28"/>
        </w:rPr>
      </w:pPr>
      <w:r>
        <w:rPr>
          <w:rFonts w:hint="eastAsia"/>
          <w:b/>
          <w:bCs/>
          <w:szCs w:val="28"/>
        </w:rPr>
        <w:t>可持续影响指标：</w:t>
      </w:r>
      <w:r>
        <w:rPr>
          <w:rFonts w:hint="eastAsia"/>
          <w:szCs w:val="28"/>
        </w:rPr>
        <w:t>2021年我部健全党史学习教育学践联动机制，健全党史学习教育上下联动机制，切实保障了党史学习教育工作可持续顺利开展</w:t>
      </w:r>
      <w:r>
        <w:rPr>
          <w:szCs w:val="28"/>
        </w:rPr>
        <w:t>。</w:t>
      </w:r>
      <w:r>
        <w:rPr>
          <w:rFonts w:hint="eastAsia"/>
          <w:szCs w:val="28"/>
        </w:rPr>
        <w:t>可持续影响指标达到了目标值，指标分值合计15分，按评分标准得15分，得分率100%。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满意度指标包括全省党员干部满意度、受教育群众满意度2个三级指标，指标总分值10分，自评得分10分，得分率100%。指标分析如下：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1134"/>
        <w:gridCol w:w="1134"/>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72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134"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34"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全省党员干部满意度</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134"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 xml:space="preserve">5 </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22" w:type="dxa"/>
            <w:vAlign w:val="center"/>
          </w:tcPr>
          <w:p>
            <w:pPr>
              <w:spacing w:line="240" w:lineRule="auto"/>
              <w:ind w:firstLine="0" w:firstLineChars="0"/>
              <w:rPr>
                <w:color w:val="000000"/>
                <w:sz w:val="24"/>
                <w:szCs w:val="24"/>
              </w:rPr>
            </w:pPr>
            <w:r>
              <w:rPr>
                <w:rFonts w:hint="eastAsia"/>
                <w:color w:val="000000"/>
                <w:sz w:val="24"/>
                <w:szCs w:val="24"/>
              </w:rPr>
              <w:t>受教育群众满意度</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≥85%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85%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2021年我部加强对党员群众思想工作的宣传，使全省广大党员干部群众及时了解掌握中央和省委的重大决策部署以及党的理论创新成果，提高了全省广大党员干部群众的理论水平和形势政策水平，获得了较高的党员干部群众认可度和满意度，全省党员干部满意度为90%，受教育群众满意度为85%</w:t>
      </w:r>
      <w:r>
        <w:rPr>
          <w:rFonts w:hint="eastAsia"/>
          <w:szCs w:val="21"/>
        </w:rPr>
        <w:t>，达到了预期目标值。指标分值10分，按评分标准得10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98" w:name="_Toc29978"/>
      <w:r>
        <w:rPr>
          <w:rFonts w:hint="eastAsia"/>
        </w:rPr>
        <w:t>（二十四）项目</w:t>
      </w:r>
      <w:r>
        <w:t>24－建党100周年宣传活动经费</w:t>
      </w:r>
      <w:bookmarkEnd w:id="98"/>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建党100周年宣传活动经费项目全年预算数</w:t>
      </w:r>
      <w:r>
        <w:rPr>
          <w:rFonts w:hint="eastAsia"/>
          <w:szCs w:val="28"/>
          <w:lang w:eastAsia="zh-CN"/>
        </w:rPr>
        <w:t>为</w:t>
      </w:r>
      <w:r>
        <w:rPr>
          <w:rFonts w:hint="eastAsia"/>
          <w:szCs w:val="28"/>
          <w:lang w:val="en-US" w:eastAsia="zh-CN"/>
        </w:rPr>
        <w:t>1372</w:t>
      </w:r>
      <w:r>
        <w:rPr>
          <w:rFonts w:hint="eastAsia"/>
          <w:szCs w:val="28"/>
        </w:rPr>
        <w:t>万元，全年支出数</w:t>
      </w:r>
      <w:r>
        <w:rPr>
          <w:rFonts w:hint="eastAsia"/>
          <w:szCs w:val="28"/>
          <w:lang w:val="en-US" w:eastAsia="zh-CN"/>
        </w:rPr>
        <w:t>1372</w:t>
      </w:r>
      <w:r>
        <w:rPr>
          <w:rFonts w:hint="eastAsia"/>
          <w:szCs w:val="28"/>
        </w:rPr>
        <w:t>万元，预算执行率100</w:t>
      </w:r>
      <w:r>
        <w:rPr>
          <w:szCs w:val="28"/>
        </w:rPr>
        <w:t>%</w:t>
      </w:r>
      <w:r>
        <w:rPr>
          <w:rFonts w:hint="eastAsia"/>
          <w:szCs w:val="28"/>
        </w:rPr>
        <w:t>，指标分值10分，按评分标准得10分，得分率100%。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本项目自评价得分100分，自评结果为“优”。主要任务完成情况分析如下：</w:t>
      </w:r>
    </w:p>
    <w:p>
      <w:pPr>
        <w:ind w:firstLine="562"/>
        <w:rPr>
          <w:szCs w:val="28"/>
        </w:rPr>
      </w:pPr>
      <w:r>
        <w:rPr>
          <w:rFonts w:hint="eastAsia"/>
          <w:b/>
          <w:bCs/>
          <w:szCs w:val="28"/>
        </w:rPr>
        <w:t>预期目标：</w:t>
      </w:r>
      <w:r>
        <w:rPr>
          <w:rFonts w:hint="eastAsia"/>
          <w:szCs w:val="28"/>
        </w:rPr>
        <w:t>紧紧围绕中国共产党成立100周年主题，开展了多项群众性主题宣传教育活动，为党的百年大庆记载伟业、展示辉煌；组织“讲好中国共产党的故事——‘百年大公见证红色甘肃百年记忆’红色之旅采访活动”和“庆祝中国共产党成立100周年境外媒体甘肃行采访活动”，向境内外宣传建党百年的辉煌成就；以庆祝建党百年为主题，创作一台大型文艺晚会，并创作、推出、宣传2部主题文艺作品；编辑出版《挂职干部看扶贫》（理论卷）（实践卷），聚焦新时代党员干部的担当和理想，以积极的现实主义精神书写当下的脱贫攻坚故事。</w:t>
      </w:r>
    </w:p>
    <w:p>
      <w:pPr>
        <w:ind w:firstLine="562"/>
        <w:rPr>
          <w:szCs w:val="28"/>
        </w:rPr>
      </w:pPr>
      <w:r>
        <w:rPr>
          <w:rFonts w:hint="eastAsia"/>
          <w:b/>
          <w:bCs/>
          <w:szCs w:val="28"/>
        </w:rPr>
        <w:t>实际完成情况：</w:t>
      </w:r>
      <w:r>
        <w:rPr>
          <w:rFonts w:hint="eastAsia"/>
          <w:szCs w:val="28"/>
        </w:rPr>
        <w:t>通过对我省红色文化的深入挖掘，讲述我省的红色故事，以图、文、视频等丰富立体的形式向国内外推介红色甘肃，已圆满完成采访活动，为建党百年营造了良好的舆论氛围；创作庆祝建党百年大型音乐舞蹈史诗《致敬百年》，创作推出交响合唱组曲《南梁颂》，指导创作宣传音乐剧《达玛花开》；编辑出版《挂职干部看扶贫》（理论卷）（实践卷）作为《伟大历程——甘肃扶贫纪实》纪录工程丛书之列，是国内首部以东部地区支援西部的扶贫干部的视角，以一个个感人至深的真实故事和包含真情的理论文章，聚焦新时代党员干部的担当和理想，以积极的现实主义精神书写当下的脱贫攻坚故事，致敬独具魅力的扶贫岁月的主旋律图书。</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w:t>
      </w:r>
      <w:r>
        <w:rPr>
          <w:rFonts w:hint="eastAsia"/>
          <w:szCs w:val="28"/>
          <w:lang w:val="en-US" w:eastAsia="zh-CN" w:bidi="ar"/>
        </w:rPr>
        <w:t>21</w:t>
      </w:r>
      <w:r>
        <w:rPr>
          <w:rFonts w:hint="eastAsia"/>
          <w:szCs w:val="28"/>
          <w:lang w:bidi="ar"/>
        </w:rPr>
        <w:t>个三级指标，指标总分值</w:t>
      </w:r>
      <w:r>
        <w:rPr>
          <w:rFonts w:hint="eastAsia"/>
          <w:szCs w:val="28"/>
          <w:lang w:val="en-US" w:eastAsia="zh-CN" w:bidi="ar"/>
        </w:rPr>
        <w:t>40</w:t>
      </w:r>
      <w:r>
        <w:rPr>
          <w:rFonts w:hint="eastAsia"/>
          <w:szCs w:val="28"/>
          <w:lang w:bidi="ar"/>
        </w:rPr>
        <w:t>分，自评得分</w:t>
      </w:r>
      <w:r>
        <w:rPr>
          <w:rFonts w:hint="eastAsia"/>
          <w:szCs w:val="28"/>
          <w:lang w:val="en-US" w:eastAsia="zh-CN" w:bidi="ar"/>
        </w:rPr>
        <w:t>40</w:t>
      </w:r>
      <w:r>
        <w:rPr>
          <w:rFonts w:hint="eastAsia"/>
          <w:szCs w:val="28"/>
          <w:lang w:bidi="ar"/>
        </w:rPr>
        <w:t>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500"/>
        <w:gridCol w:w="1530"/>
        <w:gridCol w:w="705"/>
        <w:gridCol w:w="86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创排大型文艺晚会</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≥1场</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创作、推出、宣传主题文艺作品</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≥2部</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2部</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邀请媒体数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≥15家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15家</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组织专家评审次数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提供《甘肃决战决胜脱贫攻坚经典案例》数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=100个</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100个</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组织开展庆祝活动场次</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组织重点活动采访报道次数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≥7次</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7次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《挂职干部看扶贫》印刷册数</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=2000册</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2000册</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数据采集量</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≥600页</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600页</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仿宋_GB2312" w:hAnsi="仿宋_GB2312" w:eastAsia="仿宋_GB2312" w:cstheme="minorBidi"/>
                <w:color w:val="000000"/>
                <w:kern w:val="2"/>
                <w:sz w:val="22"/>
                <w:szCs w:val="22"/>
                <w:lang w:val="en-US" w:eastAsia="zh-CN" w:bidi="ar-SA"/>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数据整理量</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≥170篇</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170篇</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演出质量达标率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演出观众上座率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≥90%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95%</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刊发稿件审读达标率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印装质量合格率</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创作完成及时性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演出完成及时性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宣传报道及时性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刊发稿件及时性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编辑出版及时性</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及时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color w:val="000000"/>
                <w:sz w:val="24"/>
                <w:szCs w:val="24"/>
                <w:lang w:val="en-US" w:eastAsia="zh-CN"/>
              </w:rPr>
            </w:pPr>
            <w:r>
              <w:rPr>
                <w:rFonts w:hint="eastAsia"/>
                <w:color w:val="000000"/>
                <w:sz w:val="24"/>
                <w:szCs w:val="24"/>
              </w:rPr>
              <w:t>成本控制情况</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在预算范围内</w:t>
            </w:r>
          </w:p>
        </w:tc>
        <w:tc>
          <w:tcPr>
            <w:tcW w:w="153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00000"/>
                <w:sz w:val="24"/>
                <w:szCs w:val="24"/>
                <w:lang w:val="en-US" w:eastAsia="zh-CN"/>
              </w:rPr>
            </w:pPr>
            <w:r>
              <w:rPr>
                <w:rFonts w:hint="eastAsia"/>
                <w:color w:val="000000"/>
                <w:sz w:val="24"/>
                <w:szCs w:val="24"/>
              </w:rPr>
              <w:t>2</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2021年我部紧紧围绕中国共产党成立100周年主题，开展了多项群众性主题宣传教育活动及系列庆祝活动，为党的百年大庆记载伟业、展示辉煌。其中创排大型文艺晚会1场，创作、推出、宣传主题文艺作品2部，邀请15家媒体，记者20余人组织专题报道，组织专家评</w:t>
      </w:r>
      <w:r>
        <w:rPr>
          <w:rFonts w:hint="eastAsia"/>
          <w:szCs w:val="28"/>
          <w:lang w:val="en-US" w:eastAsia="zh-CN" w:bidi="ar"/>
        </w:rPr>
        <w:t>2</w:t>
      </w:r>
      <w:r>
        <w:rPr>
          <w:rFonts w:hint="eastAsia"/>
          <w:szCs w:val="28"/>
          <w:lang w:bidi="ar"/>
        </w:rPr>
        <w:t>次</w:t>
      </w:r>
      <w:r>
        <w:rPr>
          <w:rFonts w:hint="eastAsia"/>
          <w:szCs w:val="28"/>
          <w:lang w:eastAsia="zh-CN" w:bidi="ar"/>
        </w:rPr>
        <w:t>，</w:t>
      </w:r>
      <w:r>
        <w:rPr>
          <w:rFonts w:hint="eastAsia"/>
          <w:szCs w:val="28"/>
          <w:lang w:bidi="ar"/>
        </w:rPr>
        <w:t>提供《甘肃决战决胜脱贫攻坚经典案例》</w:t>
      </w:r>
      <w:r>
        <w:rPr>
          <w:rFonts w:hint="eastAsia"/>
          <w:szCs w:val="28"/>
          <w:lang w:val="en-US" w:eastAsia="zh-CN" w:bidi="ar"/>
        </w:rPr>
        <w:t>100个</w:t>
      </w:r>
      <w:r>
        <w:rPr>
          <w:rFonts w:hint="eastAsia"/>
          <w:szCs w:val="28"/>
          <w:lang w:bidi="ar"/>
        </w:rPr>
        <w:t>，组织开展庆祝活动</w:t>
      </w:r>
      <w:r>
        <w:rPr>
          <w:rFonts w:hint="eastAsia"/>
          <w:szCs w:val="28"/>
          <w:lang w:val="en-US" w:eastAsia="zh-CN" w:bidi="ar"/>
        </w:rPr>
        <w:t>6</w:t>
      </w:r>
      <w:r>
        <w:rPr>
          <w:rFonts w:hint="eastAsia"/>
          <w:szCs w:val="28"/>
          <w:lang w:bidi="ar"/>
        </w:rPr>
        <w:t>次</w:t>
      </w:r>
      <w:r>
        <w:rPr>
          <w:rFonts w:hint="eastAsia"/>
          <w:szCs w:val="28"/>
          <w:lang w:eastAsia="zh-CN" w:bidi="ar"/>
        </w:rPr>
        <w:t>，组织重点活动采访报道</w:t>
      </w:r>
      <w:r>
        <w:rPr>
          <w:rFonts w:hint="eastAsia"/>
          <w:szCs w:val="28"/>
          <w:lang w:val="en-US" w:eastAsia="zh-CN" w:bidi="ar"/>
        </w:rPr>
        <w:t>7</w:t>
      </w:r>
      <w:r>
        <w:rPr>
          <w:rFonts w:hint="eastAsia"/>
          <w:szCs w:val="28"/>
          <w:lang w:eastAsia="zh-CN" w:bidi="ar"/>
        </w:rPr>
        <w:t>次，</w:t>
      </w:r>
      <w:r>
        <w:rPr>
          <w:rFonts w:hint="eastAsia"/>
          <w:szCs w:val="28"/>
          <w:lang w:bidi="ar"/>
        </w:rPr>
        <w:t>印刷《挂职干部看扶贫》2000册，采集数据600页，整理数据170篇，保障保量的完成了建党100周年宣传工作及庆祝活动。数量指标均达到目标值，指标分值合计</w:t>
      </w:r>
      <w:r>
        <w:rPr>
          <w:rFonts w:hint="eastAsia"/>
          <w:szCs w:val="28"/>
          <w:lang w:val="en-US" w:eastAsia="zh-CN" w:bidi="ar"/>
        </w:rPr>
        <w:t>21</w:t>
      </w:r>
      <w:r>
        <w:rPr>
          <w:rFonts w:hint="eastAsia"/>
          <w:szCs w:val="28"/>
          <w:lang w:bidi="ar"/>
        </w:rPr>
        <w:t>分，按评分标准得</w:t>
      </w:r>
      <w:r>
        <w:rPr>
          <w:rFonts w:hint="eastAsia"/>
          <w:szCs w:val="28"/>
          <w:lang w:val="en-US" w:eastAsia="zh-CN" w:bidi="ar"/>
        </w:rPr>
        <w:t>21</w:t>
      </w:r>
      <w:r>
        <w:rPr>
          <w:rFonts w:hint="eastAsia"/>
          <w:szCs w:val="28"/>
          <w:lang w:bidi="ar"/>
        </w:rPr>
        <w:t>分，得分率100%。</w:t>
      </w:r>
    </w:p>
    <w:p>
      <w:pPr>
        <w:ind w:firstLine="562"/>
        <w:rPr>
          <w:szCs w:val="28"/>
        </w:rPr>
      </w:pPr>
      <w:r>
        <w:rPr>
          <w:rFonts w:hint="eastAsia"/>
          <w:b/>
          <w:bCs/>
          <w:szCs w:val="28"/>
        </w:rPr>
        <w:t>质量指标：</w:t>
      </w:r>
      <w:r>
        <w:rPr>
          <w:rFonts w:hint="eastAsia"/>
          <w:szCs w:val="28"/>
        </w:rPr>
        <w:t>我部积极组织各处室根据2021年宣传思想工作要点，紧紧围绕中国共产党成立100周年主题，开展系列宣传活动及教育活动，全年演出质量达标率、刊发稿件审读达标率、印装质量合格率均为100%，演出观众上座率高达95%，极大丰富了人民群众的精神文化生活，在社会上营造出了庆祝中国共产党成立100周年的浓厚氛围。质量指标均达到目标值，指标分值合计</w:t>
      </w:r>
      <w:r>
        <w:rPr>
          <w:rFonts w:hint="eastAsia"/>
          <w:szCs w:val="28"/>
          <w:lang w:val="en-US" w:eastAsia="zh-CN"/>
        </w:rPr>
        <w:t>12</w:t>
      </w:r>
      <w:r>
        <w:rPr>
          <w:rFonts w:hint="eastAsia"/>
          <w:szCs w:val="28"/>
        </w:rPr>
        <w:t>分，按评分标准得1</w:t>
      </w:r>
      <w:r>
        <w:rPr>
          <w:rFonts w:hint="eastAsia"/>
          <w:szCs w:val="28"/>
          <w:lang w:val="en-US" w:eastAsia="zh-CN"/>
        </w:rPr>
        <w:t>2</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2021年我部根据年度工作计划组织各处室完成了建党100周年关于创作、演出、宣传报道、刊发稿件、编辑出版等工作，各项工作均在规定时间内完成。时效指标均达到了预期目标值，指标分值合计5分，按评分标准得5分，得分率100%。</w:t>
      </w:r>
    </w:p>
    <w:p>
      <w:pPr>
        <w:ind w:firstLine="562"/>
        <w:rPr>
          <w:szCs w:val="28"/>
        </w:rPr>
      </w:pPr>
      <w:r>
        <w:rPr>
          <w:rFonts w:hint="eastAsia"/>
          <w:b/>
          <w:bCs/>
          <w:szCs w:val="28"/>
        </w:rPr>
        <w:t>成本指标：</w:t>
      </w:r>
      <w:r>
        <w:rPr>
          <w:rFonts w:hint="eastAsia"/>
          <w:szCs w:val="28"/>
        </w:rPr>
        <w:t>建党100周年宣传活动经费全年预算资金为</w:t>
      </w:r>
      <w:r>
        <w:rPr>
          <w:rFonts w:hint="eastAsia"/>
          <w:szCs w:val="28"/>
          <w:lang w:val="en-US" w:eastAsia="zh-CN"/>
        </w:rPr>
        <w:t>1372</w:t>
      </w:r>
      <w:r>
        <w:rPr>
          <w:rFonts w:hint="eastAsia"/>
          <w:szCs w:val="28"/>
        </w:rPr>
        <w:t>万元，实际支出</w:t>
      </w:r>
      <w:r>
        <w:rPr>
          <w:rFonts w:hint="eastAsia"/>
          <w:szCs w:val="28"/>
          <w:lang w:val="en-US" w:eastAsia="zh-CN"/>
        </w:rPr>
        <w:t>1372</w:t>
      </w:r>
      <w:r>
        <w:rPr>
          <w:rFonts w:hint="eastAsia"/>
          <w:szCs w:val="28"/>
        </w:rPr>
        <w:t>万元，无超预算开支，成本控制在预算范围内，达到了预期目标值。</w:t>
      </w:r>
      <w:r>
        <w:rPr>
          <w:rStyle w:val="24"/>
          <w:rFonts w:hint="eastAsia"/>
          <w:sz w:val="28"/>
          <w:szCs w:val="28"/>
        </w:rPr>
        <w:t>指标</w:t>
      </w:r>
      <w:r>
        <w:rPr>
          <w:rFonts w:hint="eastAsia"/>
          <w:szCs w:val="28"/>
        </w:rPr>
        <w:t>分值</w:t>
      </w:r>
      <w:r>
        <w:rPr>
          <w:rFonts w:hint="eastAsia"/>
          <w:szCs w:val="28"/>
          <w:lang w:val="en-US" w:eastAsia="zh-CN"/>
        </w:rPr>
        <w:t>2</w:t>
      </w:r>
      <w:r>
        <w:rPr>
          <w:rFonts w:hint="eastAsia"/>
          <w:szCs w:val="28"/>
        </w:rPr>
        <w:t>分，按评分标准得</w:t>
      </w:r>
      <w:r>
        <w:rPr>
          <w:rFonts w:hint="eastAsia"/>
          <w:szCs w:val="28"/>
          <w:lang w:val="en-US" w:eastAsia="zh-CN"/>
        </w:rPr>
        <w:t>2</w:t>
      </w:r>
      <w:r>
        <w:rPr>
          <w:rFonts w:hint="eastAsia"/>
          <w:szCs w:val="28"/>
        </w:rPr>
        <w:t>分，得分率100%。</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个二级指标，5个三级指标，指标总分值</w:t>
      </w:r>
      <w:r>
        <w:rPr>
          <w:rFonts w:hint="eastAsia"/>
          <w:szCs w:val="28"/>
          <w:lang w:val="en-US" w:eastAsia="zh-CN" w:bidi="ar"/>
        </w:rPr>
        <w:t>40</w:t>
      </w:r>
      <w:r>
        <w:rPr>
          <w:rFonts w:hint="eastAsia"/>
          <w:szCs w:val="28"/>
          <w:lang w:bidi="ar"/>
        </w:rPr>
        <w:t>分，自评得分</w:t>
      </w:r>
      <w:r>
        <w:rPr>
          <w:rFonts w:hint="eastAsia"/>
          <w:szCs w:val="28"/>
          <w:lang w:val="en-US" w:eastAsia="zh-CN" w:bidi="ar"/>
        </w:rPr>
        <w:t>40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5"/>
        <w:gridCol w:w="1005"/>
        <w:gridCol w:w="1137"/>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剧目演出观众好评率</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积极营造浓厚舆论氛围</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积极营造</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文化传承价值提高性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提升全省人民群众生态环保意识</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9</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内外宣传联动机制健全性</w:t>
            </w:r>
          </w:p>
        </w:tc>
        <w:tc>
          <w:tcPr>
            <w:tcW w:w="10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提升</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hAnsi="等线" w:eastAsia="仿宋_GB2312"/>
                <w:b/>
                <w:bCs/>
                <w:sz w:val="24"/>
                <w:szCs w:val="24"/>
                <w:lang w:val="en-US" w:eastAsia="zh-CN"/>
              </w:rPr>
            </w:pPr>
            <w:r>
              <w:rPr>
                <w:rFonts w:hint="eastAsia" w:hAnsi="等线"/>
                <w:b/>
                <w:bCs/>
                <w:sz w:val="24"/>
                <w:szCs w:val="24"/>
                <w:lang w:val="en-US" w:eastAsia="zh-CN"/>
              </w:rPr>
              <w:t>40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根据我部2021年宣传思想工作要点，组织“讲好中国共产党的故事——‘百年大公见证红色甘肃百年记忆’红色之旅采访活动”和“庆祝中国共产党成立100周年境外媒体甘肃行采访活动”，向境内外宣传建党百年的辉煌成就；大型晚会《致敬百年》由甘肃演艺集团负责实施，晚会第一次在甘肃采用音乐舞蹈史诗的艺术形式呈现，全景式回顾中国共产党百年来带领中国人民从站起来、富起来、到强起来的光辉历程，以更加恢宏、壮丽的气势歌颂国家取得的历史性成就、发生的历史性变革；交响合唱组曲《南梁颂》由兰州演艺集团负责实施，组曲在深入挖掘甘肃厚重革命历史文化资源基础上，以艺术形式展现陕甘革命根据地人民顽强拼搏、接续奋斗的光辉历史。音乐剧《达玛花开》由甘南州委宣传部负责实施，该剧以全国优秀共产党员、舟曲县扶贫办原副主任张小娟为原型，讲述她坚决贯彻党中央关于脱贫攻坚的决策部署，了解群众需求、解决群众困难的模范事迹，剧目演出观众好评率高达97%，营造了浓厚的舆论氛围；编辑出版《挂职干部看扶贫》（理论卷）（实践卷）作为《伟大历程——甘肃扶贫纪实》纪录工程丛书之列，是国内首部以东部地区支援西部的扶贫干部的视角，以一个个感人至深的真实故事和包含真情的理论文章，聚焦新时代党员干部的担当和理想，以积极的现实主义精神书写当下的脱贫攻坚故事，致敬独具魅力的扶贫岁月的主旋律图书，文化传承价值得到进一步提升。社会效益指标均达到目标值。指标分值21分，按评分标准得21分，得分率</w:t>
      </w:r>
      <w:r>
        <w:rPr>
          <w:szCs w:val="28"/>
          <w:lang w:bidi="ar"/>
        </w:rPr>
        <w:t>100</w:t>
      </w:r>
      <w:r>
        <w:rPr>
          <w:rFonts w:hint="eastAsia"/>
          <w:szCs w:val="28"/>
          <w:lang w:bidi="ar"/>
        </w:rPr>
        <w:t>%。</w:t>
      </w:r>
    </w:p>
    <w:p>
      <w:pPr>
        <w:ind w:firstLine="562"/>
        <w:rPr>
          <w:szCs w:val="28"/>
          <w:lang w:bidi="ar"/>
        </w:rPr>
      </w:pPr>
      <w:r>
        <w:rPr>
          <w:rFonts w:hint="eastAsia"/>
          <w:b/>
          <w:bCs/>
          <w:szCs w:val="28"/>
          <w:lang w:bidi="ar"/>
        </w:rPr>
        <w:t>生态效益指标：</w:t>
      </w:r>
      <w:r>
        <w:rPr>
          <w:rFonts w:hint="eastAsia"/>
          <w:szCs w:val="28"/>
          <w:lang w:bidi="ar"/>
        </w:rPr>
        <w:t>2021年我部以建党100周年为契机，组织新闻媒体加大对生态环保的宣传，坚持“环境保护，宣教先行”的理念，始终把环境宣传教育工作摆上重要位置，严格落实责任制宣传思想工作要点，通过开展世界环境日等与环保有关的宣传活动，组织举办形式多样的环保公益宣传和特色专题环保宣传活动，解惑释疑，实现与群众“零距离”接触，以此积极引导民间环保组织、公众开展参与度高、影响覆盖面大、形式多样富有成效的环保宣教活动，营造全社会共同关心支持环保工作的良好氛围，全省人民群众生态环保意识得到普遍提高。指标分值9分，按评分标准得9分，得分率100%。</w:t>
      </w:r>
    </w:p>
    <w:p>
      <w:pPr>
        <w:ind w:firstLine="562"/>
        <w:rPr>
          <w:szCs w:val="28"/>
        </w:rPr>
      </w:pPr>
      <w:r>
        <w:rPr>
          <w:rFonts w:hint="eastAsia"/>
          <w:b/>
          <w:bCs/>
          <w:szCs w:val="28"/>
        </w:rPr>
        <w:t>可持续影响指标：</w:t>
      </w:r>
      <w:r>
        <w:rPr>
          <w:rFonts w:hint="eastAsia"/>
          <w:szCs w:val="28"/>
        </w:rPr>
        <w:t>2021年我部健全内外宣传联动机制，组织新闻媒体积极开展内外宣传工作，为党的百年大庆记载伟业、展示辉煌。切实保障内外宣传工作的可持续进展</w:t>
      </w:r>
      <w:r>
        <w:rPr>
          <w:szCs w:val="28"/>
        </w:rPr>
        <w:t>。</w:t>
      </w:r>
      <w:r>
        <w:rPr>
          <w:rFonts w:hint="eastAsia"/>
          <w:szCs w:val="28"/>
        </w:rPr>
        <w:t>指标分值10分，按评分标准得10分，得分率100%。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满意度指标包括党员干部满意度、</w:t>
      </w:r>
      <w:r>
        <w:rPr>
          <w:rFonts w:hint="eastAsia"/>
          <w:color w:val="000000"/>
          <w:szCs w:val="28"/>
        </w:rPr>
        <w:t>人民群众满意度2</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485"/>
        <w:gridCol w:w="1463"/>
        <w:gridCol w:w="1134"/>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2042"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48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463"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1134"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2"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党员干部满意度</w:t>
            </w:r>
          </w:p>
        </w:tc>
        <w:tc>
          <w:tcPr>
            <w:tcW w:w="148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463" w:type="dxa"/>
            <w:vAlign w:val="center"/>
          </w:tcPr>
          <w:p>
            <w:pPr>
              <w:spacing w:line="240" w:lineRule="auto"/>
              <w:ind w:firstLine="0" w:firstLineChars="0"/>
              <w:jc w:val="center"/>
              <w:rPr>
                <w:rFonts w:cs="仿宋_GB2312"/>
                <w:color w:val="000000"/>
                <w:sz w:val="24"/>
                <w:szCs w:val="24"/>
              </w:rPr>
            </w:pPr>
            <w:r>
              <w:rPr>
                <w:rFonts w:hint="eastAsia"/>
                <w:color w:val="000000"/>
                <w:sz w:val="24"/>
                <w:szCs w:val="24"/>
                <w:lang w:val="en-US" w:eastAsia="zh-CN"/>
              </w:rPr>
              <w:t>98</w:t>
            </w:r>
            <w:r>
              <w:rPr>
                <w:rFonts w:hint="eastAsia"/>
                <w:color w:val="000000"/>
                <w:sz w:val="24"/>
                <w:szCs w:val="24"/>
              </w:rPr>
              <w:t>%</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42" w:type="dxa"/>
            <w:vAlign w:val="center"/>
          </w:tcPr>
          <w:p>
            <w:pPr>
              <w:spacing w:line="240" w:lineRule="auto"/>
              <w:ind w:firstLine="0" w:firstLineChars="0"/>
              <w:rPr>
                <w:color w:val="000000"/>
                <w:sz w:val="24"/>
                <w:szCs w:val="24"/>
              </w:rPr>
            </w:pPr>
            <w:r>
              <w:rPr>
                <w:rFonts w:hint="eastAsia"/>
                <w:color w:val="000000"/>
                <w:sz w:val="24"/>
                <w:szCs w:val="24"/>
              </w:rPr>
              <w:t>人民群众满意度</w:t>
            </w:r>
          </w:p>
        </w:tc>
        <w:tc>
          <w:tcPr>
            <w:tcW w:w="1485" w:type="dxa"/>
            <w:vAlign w:val="center"/>
          </w:tcPr>
          <w:p>
            <w:pPr>
              <w:spacing w:line="240" w:lineRule="auto"/>
              <w:ind w:firstLine="0" w:firstLineChars="0"/>
              <w:jc w:val="center"/>
              <w:rPr>
                <w:color w:val="000000"/>
                <w:sz w:val="24"/>
                <w:szCs w:val="24"/>
              </w:rPr>
            </w:pPr>
            <w:r>
              <w:rPr>
                <w:rFonts w:hint="eastAsia"/>
                <w:color w:val="000000"/>
                <w:sz w:val="24"/>
                <w:szCs w:val="24"/>
              </w:rPr>
              <w:t>≥90%</w:t>
            </w:r>
          </w:p>
        </w:tc>
        <w:tc>
          <w:tcPr>
            <w:tcW w:w="1463" w:type="dxa"/>
            <w:vAlign w:val="center"/>
          </w:tcPr>
          <w:p>
            <w:pPr>
              <w:spacing w:line="240" w:lineRule="auto"/>
              <w:ind w:firstLine="0" w:firstLineChars="0"/>
              <w:jc w:val="center"/>
              <w:rPr>
                <w:color w:val="000000"/>
                <w:sz w:val="24"/>
                <w:szCs w:val="24"/>
              </w:rPr>
            </w:pPr>
            <w:r>
              <w:rPr>
                <w:rFonts w:hint="eastAsia"/>
                <w:color w:val="000000"/>
                <w:sz w:val="24"/>
                <w:szCs w:val="24"/>
              </w:rPr>
              <w:t>95%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134"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0" w:type="dxa"/>
            <w:gridSpan w:val="3"/>
          </w:tcPr>
          <w:p>
            <w:pPr>
              <w:spacing w:line="240" w:lineRule="auto"/>
              <w:ind w:firstLine="0" w:firstLineChars="0"/>
              <w:jc w:val="center"/>
              <w:rPr>
                <w:b/>
                <w:bCs/>
                <w:sz w:val="24"/>
                <w:szCs w:val="24"/>
              </w:rPr>
            </w:pPr>
            <w:r>
              <w:rPr>
                <w:rFonts w:hint="eastAsia"/>
                <w:b/>
                <w:bCs/>
                <w:sz w:val="24"/>
                <w:szCs w:val="24"/>
              </w:rPr>
              <w:t>合计</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cs="仿宋_GB2312"/>
          <w:color w:val="333333"/>
          <w:szCs w:val="28"/>
        </w:rPr>
        <w:t>项目的实施极大丰富了人民群众的精神文化生活，在社会上营造出了庆祝中国共产党成立100周年的浓厚氛围。项目主题鲜明，导向作用明显。通过项目的实施，典型人物的示范带动作用更加明显，党史学习教育效果显著。项目在创作和演出过程中，艺术家们倾情奉献，使项目富有浓郁的表现力和感染力，达到了思想性、艺术性的有机统一，得到了党员干部和人民群众的普遍认可</w:t>
      </w:r>
      <w:r>
        <w:rPr>
          <w:rFonts w:hint="eastAsia"/>
          <w:szCs w:val="21"/>
        </w:rPr>
        <w:t>，满意度均达到了预期目标值。指标分值10分，按评分标准得10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3"/>
        <w:ind w:firstLine="643"/>
      </w:pPr>
      <w:bookmarkStart w:id="99" w:name="_Toc5853"/>
      <w:r>
        <w:rPr>
          <w:rFonts w:hint="eastAsia"/>
        </w:rPr>
        <w:t>（二十五）项目25－甘肃演艺集团转企事业费</w:t>
      </w:r>
      <w:bookmarkEnd w:id="99"/>
    </w:p>
    <w:p>
      <w:pPr>
        <w:pStyle w:val="4"/>
        <w:ind w:firstLine="562"/>
      </w:pPr>
      <w:r>
        <w:rPr>
          <w:rFonts w:hint="eastAsia"/>
        </w:rPr>
        <w:t>1</w:t>
      </w:r>
      <w:r>
        <w:rPr>
          <w:rFonts w:hint="eastAsia" w:hAnsi="宋体"/>
        </w:rPr>
        <w:t>、</w:t>
      </w:r>
      <w:r>
        <w:rPr>
          <w:rFonts w:hint="eastAsia"/>
        </w:rPr>
        <w:t>项目支出预算执行情况</w:t>
      </w:r>
    </w:p>
    <w:p>
      <w:pPr>
        <w:ind w:firstLine="560"/>
        <w:rPr>
          <w:szCs w:val="28"/>
        </w:rPr>
      </w:pPr>
      <w:r>
        <w:rPr>
          <w:rFonts w:hint="eastAsia"/>
          <w:szCs w:val="28"/>
        </w:rPr>
        <w:t>甘肃演艺集</w:t>
      </w:r>
      <w:bookmarkStart w:id="138" w:name="_GoBack"/>
      <w:bookmarkEnd w:id="138"/>
      <w:r>
        <w:rPr>
          <w:rFonts w:hint="eastAsia"/>
          <w:szCs w:val="28"/>
        </w:rPr>
        <w:t>团转企事业费项目全年预算数</w:t>
      </w:r>
      <w:r>
        <w:rPr>
          <w:rFonts w:hint="eastAsia"/>
          <w:szCs w:val="28"/>
          <w:lang w:eastAsia="zh-CN"/>
        </w:rPr>
        <w:t>为</w:t>
      </w:r>
      <w:r>
        <w:rPr>
          <w:szCs w:val="28"/>
        </w:rPr>
        <w:t>2000</w:t>
      </w:r>
      <w:r>
        <w:rPr>
          <w:rFonts w:hint="eastAsia"/>
          <w:szCs w:val="28"/>
        </w:rPr>
        <w:t>万元，全年支出数</w:t>
      </w:r>
      <w:r>
        <w:rPr>
          <w:szCs w:val="28"/>
        </w:rPr>
        <w:t>2000</w:t>
      </w:r>
      <w:r>
        <w:rPr>
          <w:rFonts w:hint="eastAsia"/>
          <w:szCs w:val="28"/>
        </w:rPr>
        <w:t>万元，预算执行率</w:t>
      </w:r>
      <w:r>
        <w:rPr>
          <w:szCs w:val="28"/>
        </w:rPr>
        <w:t>100%</w:t>
      </w:r>
      <w:r>
        <w:rPr>
          <w:rFonts w:hint="eastAsia"/>
          <w:szCs w:val="28"/>
        </w:rPr>
        <w:t>，指标分值10分，按评分标准得</w:t>
      </w:r>
      <w:r>
        <w:rPr>
          <w:szCs w:val="28"/>
        </w:rPr>
        <w:t>10</w:t>
      </w:r>
      <w:r>
        <w:rPr>
          <w:rFonts w:hint="eastAsia"/>
          <w:szCs w:val="28"/>
        </w:rPr>
        <w:t>分，得分率</w:t>
      </w:r>
      <w:r>
        <w:rPr>
          <w:szCs w:val="28"/>
        </w:rPr>
        <w:t>100</w:t>
      </w:r>
      <w:r>
        <w:rPr>
          <w:rFonts w:hint="eastAsia"/>
          <w:szCs w:val="28"/>
        </w:rPr>
        <w:t>%。</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w:t>
      </w:r>
      <w:r>
        <w:rPr>
          <w:szCs w:val="28"/>
        </w:rPr>
        <w:t>100</w:t>
      </w:r>
      <w:r>
        <w:rPr>
          <w:rFonts w:hint="eastAsia"/>
          <w:szCs w:val="28"/>
        </w:rPr>
        <w:t>分，自评结果为“优秀”。主要任务完成情况分析如下：</w:t>
      </w:r>
    </w:p>
    <w:p>
      <w:pPr>
        <w:ind w:firstLine="562"/>
        <w:rPr>
          <w:szCs w:val="28"/>
        </w:rPr>
      </w:pPr>
      <w:r>
        <w:rPr>
          <w:rFonts w:hint="eastAsia"/>
          <w:b/>
          <w:bCs/>
          <w:szCs w:val="28"/>
        </w:rPr>
        <w:t>预期目标：</w:t>
      </w:r>
      <w:r>
        <w:rPr>
          <w:rFonts w:hint="eastAsia"/>
          <w:szCs w:val="28"/>
        </w:rPr>
        <w:t>保证集团人员基本工资、社保费用的缴纳，维持集团日常运行，加大集团人才培养力度，创排精品剧目。</w:t>
      </w:r>
    </w:p>
    <w:p>
      <w:pPr>
        <w:ind w:firstLine="562"/>
        <w:rPr>
          <w:szCs w:val="28"/>
        </w:rPr>
      </w:pPr>
      <w:r>
        <w:rPr>
          <w:rFonts w:hint="eastAsia"/>
          <w:b/>
          <w:bCs/>
          <w:szCs w:val="28"/>
        </w:rPr>
        <w:t>实际完成情况：</w:t>
      </w:r>
      <w:r>
        <w:rPr>
          <w:rFonts w:hint="eastAsia"/>
          <w:szCs w:val="28"/>
        </w:rPr>
        <w:t>缴纳了集团人员基本工资和社保费用，维持了集团的正常运转，通过培训、排演等形式加大了人才的培养，保证了小剧目的创排，全年剧目打磨提升</w:t>
      </w:r>
      <w:r>
        <w:rPr>
          <w:szCs w:val="28"/>
        </w:rPr>
        <w:t>3部，保障了730人的职工基本工资。</w:t>
      </w:r>
    </w:p>
    <w:p>
      <w:pPr>
        <w:pStyle w:val="4"/>
        <w:ind w:firstLine="562"/>
      </w:pPr>
      <w:r>
        <w:rPr>
          <w:rFonts w:hint="eastAsia"/>
        </w:rPr>
        <w:t>3</w:t>
      </w:r>
      <w:r>
        <w:rPr>
          <w:rFonts w:hint="eastAsia" w:hAnsi="宋体"/>
        </w:rPr>
        <w:t>、</w:t>
      </w:r>
      <w:r>
        <w:rPr>
          <w:rFonts w:hint="eastAsia"/>
        </w:rPr>
        <w:t>各项指标完成情况分析</w:t>
      </w:r>
    </w:p>
    <w:p>
      <w:pPr>
        <w:ind w:firstLine="560"/>
        <w:rPr>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w:t>
      </w:r>
      <w:r>
        <w:rPr>
          <w:szCs w:val="28"/>
          <w:lang w:bidi="ar"/>
        </w:rPr>
        <w:t>4</w:t>
      </w:r>
      <w:r>
        <w:rPr>
          <w:rFonts w:hint="eastAsia"/>
          <w:szCs w:val="28"/>
          <w:lang w:bidi="ar"/>
        </w:rPr>
        <w:t>个二级指标，</w:t>
      </w:r>
      <w:r>
        <w:rPr>
          <w:szCs w:val="28"/>
          <w:lang w:bidi="ar"/>
        </w:rPr>
        <w:t>8</w:t>
      </w:r>
      <w:r>
        <w:rPr>
          <w:rFonts w:hint="eastAsia"/>
          <w:szCs w:val="28"/>
          <w:lang w:bidi="ar"/>
        </w:rPr>
        <w:t>个三级指标，指标总分值50分，自评得分</w:t>
      </w:r>
      <w:r>
        <w:rPr>
          <w:szCs w:val="28"/>
          <w:lang w:bidi="ar"/>
        </w:rPr>
        <w:t>50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1050"/>
        <w:gridCol w:w="1055"/>
        <w:gridCol w:w="709"/>
        <w:gridCol w:w="85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三级指标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年度指标值</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分值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int="eastAsia"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保障职工基本工资（部分）人数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olor w:val="333333"/>
                <w:sz w:val="24"/>
                <w:szCs w:val="24"/>
              </w:rPr>
            </w:pPr>
            <w:r>
              <w:rPr>
                <w:rFonts w:hint="eastAsia"/>
                <w:color w:val="000000"/>
                <w:sz w:val="24"/>
                <w:szCs w:val="24"/>
                <w:lang w:val="en-US" w:eastAsia="zh-CN"/>
              </w:rPr>
              <w:t>=</w:t>
            </w:r>
            <w:r>
              <w:rPr>
                <w:rFonts w:hint="eastAsia"/>
                <w:color w:val="000000"/>
                <w:sz w:val="24"/>
                <w:szCs w:val="24"/>
              </w:rPr>
              <w:t>730人</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730人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剧目打磨提升数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lang w:val="en-US" w:eastAsia="zh-CN"/>
              </w:rPr>
              <w:t>=</w:t>
            </w:r>
            <w:r>
              <w:rPr>
                <w:rFonts w:hint="eastAsia"/>
                <w:color w:val="000000"/>
                <w:sz w:val="24"/>
                <w:szCs w:val="24"/>
              </w:rPr>
              <w:t>3部</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3部</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保障保留正高职事业身份人员工资及社保费人数</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lang w:val="en-US" w:eastAsia="zh-CN"/>
              </w:rPr>
              <w:t>=</w:t>
            </w:r>
            <w:r>
              <w:rPr>
                <w:rFonts w:hint="eastAsia"/>
                <w:color w:val="000000"/>
                <w:sz w:val="24"/>
                <w:szCs w:val="24"/>
              </w:rPr>
              <w:t>35人</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35人</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集团运行稳定率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剧目打磨提升达标率</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100%</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创排精品剧目工作完成及时性</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工资发放及时性</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及时</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olor w:val="000000"/>
                <w:sz w:val="24"/>
                <w:szCs w:val="24"/>
              </w:rPr>
            </w:pPr>
            <w:r>
              <w:rPr>
                <w:rFonts w:hint="eastAsia"/>
                <w:color w:val="000000"/>
                <w:sz w:val="24"/>
                <w:szCs w:val="24"/>
              </w:rPr>
              <w:t>成本控制情况</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333333"/>
                <w:sz w:val="24"/>
                <w:szCs w:val="24"/>
              </w:rPr>
            </w:pPr>
            <w:r>
              <w:rPr>
                <w:rFonts w:hint="eastAsia"/>
                <w:color w:val="000000"/>
                <w:sz w:val="24"/>
                <w:szCs w:val="24"/>
              </w:rPr>
              <w:t>在预算范围内</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6</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ind w:firstLine="562"/>
        <w:rPr>
          <w:lang w:bidi="ar"/>
        </w:rPr>
      </w:pPr>
      <w:r>
        <w:rPr>
          <w:rFonts w:hint="eastAsia"/>
          <w:b/>
          <w:bCs/>
          <w:lang w:bidi="ar"/>
        </w:rPr>
        <w:t>数量指标：</w:t>
      </w:r>
      <w:r>
        <w:rPr>
          <w:rFonts w:hint="eastAsia"/>
          <w:lang w:bidi="ar"/>
        </w:rPr>
        <w:t>项目资金保障了集团</w:t>
      </w:r>
      <w:r>
        <w:rPr>
          <w:lang w:bidi="ar"/>
        </w:rPr>
        <w:t>730名职工的部分基本工资和社保费用，基本维护了集团职工队伍的稳定和正常的排练演出。保障了正高职保留事业身份35人的工资和社保费用，解除了他们的后顾之忧。并为打磨提升音乐舞蹈史诗《致敬百年》、话剧《八步沙》、秦腔《人往高处走》3部剧目提供了部分经费，剧目质量得以提高。</w:t>
      </w:r>
      <w:r>
        <w:rPr>
          <w:rFonts w:hint="eastAsia"/>
          <w:lang w:bidi="ar"/>
        </w:rPr>
        <w:t>数量指标均达到目标值，指标分值合计</w:t>
      </w:r>
      <w:r>
        <w:rPr>
          <w:lang w:bidi="ar"/>
        </w:rPr>
        <w:t>18</w:t>
      </w:r>
      <w:r>
        <w:rPr>
          <w:rFonts w:hint="eastAsia"/>
          <w:lang w:bidi="ar"/>
        </w:rPr>
        <w:t>分，按评分标准得</w:t>
      </w:r>
      <w:r>
        <w:rPr>
          <w:lang w:bidi="ar"/>
        </w:rPr>
        <w:t>18</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质量指标：</w:t>
      </w:r>
      <w:r>
        <w:rPr>
          <w:rFonts w:hint="eastAsia"/>
          <w:szCs w:val="28"/>
        </w:rPr>
        <w:t>项目资金对集团在疫情影响不利因素下稳定企业提供了有力保证，剧目打磨提升达标率均达到1</w:t>
      </w:r>
      <w:r>
        <w:rPr>
          <w:szCs w:val="28"/>
        </w:rPr>
        <w:t>00</w:t>
      </w:r>
      <w:r>
        <w:rPr>
          <w:rFonts w:hint="eastAsia"/>
          <w:szCs w:val="28"/>
        </w:rPr>
        <w:t>%。质量指标均达到目标值，指标分值合计</w:t>
      </w:r>
      <w:r>
        <w:rPr>
          <w:szCs w:val="28"/>
        </w:rPr>
        <w:t>16</w:t>
      </w:r>
      <w:r>
        <w:rPr>
          <w:rFonts w:hint="eastAsia"/>
          <w:szCs w:val="28"/>
        </w:rPr>
        <w:t>分，按评分标准得</w:t>
      </w:r>
      <w:r>
        <w:rPr>
          <w:szCs w:val="28"/>
        </w:rPr>
        <w:t>16</w:t>
      </w:r>
      <w:r>
        <w:rPr>
          <w:rFonts w:hint="eastAsia"/>
          <w:szCs w:val="28"/>
        </w:rPr>
        <w:t>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项目资金保障了集团</w:t>
      </w:r>
      <w:r>
        <w:rPr>
          <w:szCs w:val="28"/>
        </w:rPr>
        <w:t>730名职工的</w:t>
      </w:r>
      <w:r>
        <w:rPr>
          <w:rFonts w:hint="eastAsia"/>
          <w:szCs w:val="28"/>
        </w:rPr>
        <w:t>基本权益，工资发放及时，创排精品剧目工作完成及时。时效指标均达到了目标值，指标分值合计</w:t>
      </w:r>
      <w:r>
        <w:rPr>
          <w:szCs w:val="28"/>
        </w:rPr>
        <w:t>10</w:t>
      </w:r>
      <w:r>
        <w:rPr>
          <w:rFonts w:hint="eastAsia"/>
          <w:szCs w:val="28"/>
        </w:rPr>
        <w:t>分，按评分标准得</w:t>
      </w:r>
      <w:r>
        <w:rPr>
          <w:szCs w:val="28"/>
        </w:rPr>
        <w:t>10</w:t>
      </w:r>
      <w:r>
        <w:rPr>
          <w:rFonts w:hint="eastAsia"/>
          <w:szCs w:val="28"/>
        </w:rPr>
        <w:t>分，得分率</w:t>
      </w:r>
      <w:r>
        <w:rPr>
          <w:szCs w:val="28"/>
        </w:rPr>
        <w:t>100</w:t>
      </w:r>
      <w:r>
        <w:rPr>
          <w:rFonts w:hint="eastAsia"/>
          <w:szCs w:val="28"/>
        </w:rPr>
        <w:t>%。</w:t>
      </w:r>
    </w:p>
    <w:p>
      <w:pPr>
        <w:pStyle w:val="11"/>
        <w:ind w:firstLine="562"/>
        <w:rPr>
          <w:b/>
          <w:bCs/>
        </w:rPr>
      </w:pPr>
      <w:r>
        <w:rPr>
          <w:rFonts w:hint="eastAsia"/>
          <w:b/>
          <w:bCs/>
        </w:rPr>
        <w:t>成本指标：</w:t>
      </w:r>
      <w:r>
        <w:rPr>
          <w:rFonts w:hint="eastAsia"/>
        </w:rPr>
        <w:t>该项目成本控制情况均在预算范围内。指标分值</w:t>
      </w:r>
      <w:r>
        <w:t>6</w:t>
      </w:r>
      <w:r>
        <w:rPr>
          <w:rFonts w:hint="eastAsia"/>
        </w:rPr>
        <w:t>分，按评分标准得</w:t>
      </w:r>
      <w:r>
        <w:t>6</w:t>
      </w:r>
      <w:r>
        <w:rPr>
          <w:rFonts w:hint="eastAsia"/>
        </w:rPr>
        <w:t>分，得分率</w:t>
      </w:r>
      <w:r>
        <w:t>100</w:t>
      </w:r>
      <w:r>
        <w:rPr>
          <w:rFonts w:hint="eastAsia"/>
        </w:rPr>
        <w:t>%。</w:t>
      </w:r>
    </w:p>
    <w:p>
      <w:pPr>
        <w:ind w:firstLine="560"/>
        <w:rPr>
          <w:b/>
          <w:bCs/>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4</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290"/>
        <w:gridCol w:w="1257"/>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宣传党和国家政策效果</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较好</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r>
              <w:rPr>
                <w:rFonts w:hint="eastAsia"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sz w:val="24"/>
                <w:szCs w:val="24"/>
              </w:rPr>
            </w:pPr>
            <w:r>
              <w:rPr>
                <w:rFonts w:hint="eastAsia"/>
                <w:color w:val="000000"/>
                <w:sz w:val="24"/>
                <w:szCs w:val="24"/>
              </w:rPr>
              <w:t>提升群众文化素养效果</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较好</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较好</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剧目演出观众评价</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≥80%</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color w:val="000000"/>
                <w:sz w:val="24"/>
                <w:szCs w:val="24"/>
              </w:rPr>
            </w:pPr>
            <w:r>
              <w:rPr>
                <w:rFonts w:hint="eastAsia"/>
                <w:color w:val="000000"/>
                <w:sz w:val="24"/>
                <w:szCs w:val="24"/>
              </w:rPr>
              <w:t>保障集团持续发展有效性</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有效保障</w:t>
            </w:r>
          </w:p>
        </w:tc>
        <w:tc>
          <w:tcPr>
            <w:tcW w:w="125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较好</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8</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sz w:val="24"/>
                <w:szCs w:val="24"/>
              </w:rPr>
              <w:t>1</w:t>
            </w:r>
            <w:r>
              <w:rPr>
                <w:rFonts w:cs="仿宋_GB2312"/>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sz w:val="24"/>
                <w:szCs w:val="24"/>
              </w:rPr>
            </w:pPr>
            <w:r>
              <w:rPr>
                <w:rFonts w:hint="eastAsia" w:cs="仿宋_GB2312"/>
                <w:b/>
                <w:bCs/>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pStyle w:val="11"/>
        <w:ind w:firstLine="562"/>
        <w:rPr>
          <w:lang w:bidi="ar"/>
        </w:rPr>
      </w:pPr>
      <w:r>
        <w:rPr>
          <w:rFonts w:hint="eastAsia"/>
          <w:b/>
          <w:bCs/>
          <w:lang w:bidi="ar"/>
        </w:rPr>
        <w:t>社会效益指标：</w:t>
      </w:r>
      <w:r>
        <w:rPr>
          <w:rFonts w:hint="eastAsia"/>
          <w:lang w:bidi="ar"/>
        </w:rPr>
        <w:t>本项资金的保障使得基层员工感受到了党的关怀，激励集团充分发挥国有文艺院团文化宣传导向作用，严把创作质量关，把更好的演出回馈群众、回馈社会。广大群众特别是基层群众通过观看演出，更加感受到社会主义好、共产党好，更加念党情、感党恩，更加拥护共产党、坚定了跟党走的信心。观看演出的群众在满足精神文化需求的同时，文化素养不断提升，群众的满足感、获得感、幸福感进一步增强。社会效益指标达到了目标值。社会效益指标分值</w:t>
      </w:r>
      <w:r>
        <w:rPr>
          <w:lang w:bidi="ar"/>
        </w:rPr>
        <w:t>22</w:t>
      </w:r>
      <w:r>
        <w:rPr>
          <w:rFonts w:hint="eastAsia"/>
          <w:lang w:bidi="ar"/>
        </w:rPr>
        <w:t>分，按评分标准得</w:t>
      </w:r>
      <w:r>
        <w:rPr>
          <w:lang w:bidi="ar"/>
        </w:rPr>
        <w:t>22</w:t>
      </w:r>
      <w:r>
        <w:rPr>
          <w:rFonts w:hint="eastAsia"/>
          <w:lang w:bidi="ar"/>
        </w:rPr>
        <w:t>分，得分率</w:t>
      </w:r>
      <w:r>
        <w:rPr>
          <w:lang w:bidi="ar"/>
        </w:rPr>
        <w:t>100</w:t>
      </w:r>
      <w:r>
        <w:rPr>
          <w:rFonts w:hint="eastAsia"/>
          <w:lang w:bidi="ar"/>
        </w:rPr>
        <w:t>%。</w:t>
      </w:r>
    </w:p>
    <w:p>
      <w:pPr>
        <w:ind w:firstLine="562"/>
        <w:rPr>
          <w:szCs w:val="28"/>
        </w:rPr>
      </w:pPr>
      <w:r>
        <w:rPr>
          <w:rFonts w:hint="eastAsia"/>
          <w:b/>
          <w:bCs/>
          <w:szCs w:val="28"/>
        </w:rPr>
        <w:t>可持续影响指标：</w:t>
      </w:r>
      <w:r>
        <w:rPr>
          <w:rFonts w:hint="eastAsia"/>
          <w:szCs w:val="28"/>
        </w:rPr>
        <w:t>拨付演艺集团转企事业费，用于保障集团正常运行、发挥集团管理中枢作用，为集团发展解决急需的艺术专业人才、经营管理人才，提高集团发展后劲，有效保障了集团持续发展。可持续影响指标达到了目标值，指标分值</w:t>
      </w:r>
      <w:r>
        <w:rPr>
          <w:szCs w:val="28"/>
        </w:rPr>
        <w:t>8</w:t>
      </w:r>
      <w:r>
        <w:rPr>
          <w:rFonts w:hint="eastAsia"/>
          <w:szCs w:val="28"/>
        </w:rPr>
        <w:t>分，按评分标准得</w:t>
      </w:r>
      <w:r>
        <w:rPr>
          <w:szCs w:val="28"/>
        </w:rPr>
        <w:t>8</w:t>
      </w:r>
      <w:r>
        <w:rPr>
          <w:rFonts w:hint="eastAsia"/>
          <w:szCs w:val="28"/>
        </w:rPr>
        <w:t>分，得分率100%。</w:t>
      </w:r>
    </w:p>
    <w:p>
      <w:pPr>
        <w:ind w:firstLine="560"/>
        <w:rPr>
          <w:szCs w:val="28"/>
        </w:rPr>
      </w:pPr>
      <w:r>
        <w:rPr>
          <w:rFonts w:hint="eastAsia"/>
          <w:b/>
          <w:bCs/>
          <w:szCs w:val="28"/>
        </w:rPr>
        <w:t>（3）满意度指标</w:t>
      </w:r>
    </w:p>
    <w:p>
      <w:pPr>
        <w:ind w:firstLine="560"/>
        <w:rPr>
          <w:szCs w:val="28"/>
          <w:lang w:bidi="ar"/>
        </w:rPr>
      </w:pPr>
      <w:r>
        <w:rPr>
          <w:rFonts w:hint="eastAsia"/>
          <w:szCs w:val="28"/>
          <w:lang w:bidi="ar"/>
        </w:rPr>
        <w:t>满意度指标包括人民群众满意度</w:t>
      </w:r>
      <w:r>
        <w:rPr>
          <w:szCs w:val="28"/>
          <w:lang w:bidi="ar"/>
        </w:rPr>
        <w:t>1</w:t>
      </w:r>
      <w:r>
        <w:rPr>
          <w:rFonts w:hint="eastAsia"/>
          <w:szCs w:val="28"/>
          <w:lang w:bidi="ar"/>
        </w:rPr>
        <w:t>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565"/>
        <w:gridCol w:w="1559"/>
        <w:gridCol w:w="850"/>
        <w:gridCol w:w="113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150"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56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559"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vAlign w:val="center"/>
          </w:tcPr>
          <w:p>
            <w:pPr>
              <w:spacing w:line="240" w:lineRule="auto"/>
              <w:ind w:firstLine="0" w:firstLineChars="0"/>
              <w:jc w:val="center"/>
              <w:rPr>
                <w:b/>
                <w:bCs/>
                <w:sz w:val="24"/>
                <w:szCs w:val="24"/>
              </w:rPr>
            </w:pPr>
            <w:r>
              <w:rPr>
                <w:rFonts w:hint="eastAsia"/>
                <w:b/>
                <w:bCs/>
                <w:sz w:val="24"/>
                <w:szCs w:val="24"/>
              </w:rPr>
              <w:t>分值</w:t>
            </w:r>
          </w:p>
        </w:tc>
        <w:tc>
          <w:tcPr>
            <w:tcW w:w="1134"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0" w:type="dxa"/>
            <w:vAlign w:val="center"/>
          </w:tcPr>
          <w:p>
            <w:pPr>
              <w:spacing w:line="240" w:lineRule="auto"/>
              <w:ind w:firstLine="0" w:firstLineChars="0"/>
              <w:rPr>
                <w:rFonts w:ascii="宋体" w:hAnsi="宋体"/>
                <w:color w:val="333333"/>
                <w:sz w:val="24"/>
                <w:szCs w:val="24"/>
              </w:rPr>
            </w:pPr>
            <w:r>
              <w:rPr>
                <w:rFonts w:hint="eastAsia"/>
                <w:color w:val="000000"/>
                <w:sz w:val="24"/>
                <w:szCs w:val="24"/>
              </w:rPr>
              <w:t>人民群众满意度</w:t>
            </w:r>
          </w:p>
        </w:tc>
        <w:tc>
          <w:tcPr>
            <w:tcW w:w="1565" w:type="dxa"/>
            <w:vAlign w:val="center"/>
          </w:tcPr>
          <w:p>
            <w:pPr>
              <w:spacing w:line="240" w:lineRule="auto"/>
              <w:ind w:firstLine="0" w:firstLineChars="0"/>
              <w:jc w:val="center"/>
              <w:rPr>
                <w:rFonts w:cs="仿宋_GB2312"/>
                <w:color w:val="000000"/>
                <w:sz w:val="24"/>
                <w:szCs w:val="24"/>
              </w:rPr>
            </w:pPr>
            <w:r>
              <w:rPr>
                <w:rStyle w:val="39"/>
                <w:rFonts w:hint="default" w:ascii="仿宋_GB2312" w:hAnsi="仿宋_GB2312" w:eastAsia="仿宋_GB2312" w:cs="仿宋_GB2312"/>
                <w:sz w:val="24"/>
                <w:szCs w:val="24"/>
              </w:rPr>
              <w:t>≥</w:t>
            </w:r>
            <w:r>
              <w:rPr>
                <w:rStyle w:val="37"/>
                <w:rFonts w:hint="default" w:ascii="仿宋_GB2312" w:hAnsi="仿宋_GB2312" w:eastAsia="仿宋_GB2312" w:cs="仿宋_GB2312"/>
                <w:sz w:val="24"/>
                <w:szCs w:val="24"/>
              </w:rPr>
              <w:t>85%</w:t>
            </w:r>
          </w:p>
        </w:tc>
        <w:tc>
          <w:tcPr>
            <w:tcW w:w="1559"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850"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1134" w:type="dxa"/>
            <w:vAlign w:val="center"/>
          </w:tcPr>
          <w:p>
            <w:pPr>
              <w:spacing w:line="240" w:lineRule="auto"/>
              <w:ind w:firstLine="0" w:firstLineChars="0"/>
              <w:jc w:val="center"/>
              <w:rPr>
                <w:rFonts w:cs="仿宋_GB2312"/>
                <w:sz w:val="24"/>
                <w:szCs w:val="24"/>
              </w:rPr>
            </w:pPr>
            <w:r>
              <w:rPr>
                <w:rFonts w:hint="eastAsia"/>
                <w:color w:val="000000"/>
                <w:sz w:val="24"/>
                <w:szCs w:val="24"/>
              </w:rPr>
              <w:t>10</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74" w:type="dxa"/>
            <w:gridSpan w:val="3"/>
          </w:tcPr>
          <w:p>
            <w:pPr>
              <w:spacing w:line="240" w:lineRule="auto"/>
              <w:ind w:firstLine="0" w:firstLineChars="0"/>
              <w:jc w:val="center"/>
              <w:rPr>
                <w:b/>
                <w:bCs/>
                <w:sz w:val="24"/>
                <w:szCs w:val="24"/>
              </w:rPr>
            </w:pPr>
            <w:r>
              <w:rPr>
                <w:rFonts w:hint="eastAsia"/>
                <w:b/>
                <w:bCs/>
                <w:sz w:val="24"/>
                <w:szCs w:val="24"/>
              </w:rPr>
              <w:t>合计</w:t>
            </w:r>
          </w:p>
        </w:tc>
        <w:tc>
          <w:tcPr>
            <w:tcW w:w="850" w:type="dxa"/>
            <w:vAlign w:val="center"/>
          </w:tcPr>
          <w:p>
            <w:pPr>
              <w:spacing w:line="240" w:lineRule="auto"/>
              <w:ind w:firstLine="0" w:firstLineChars="0"/>
              <w:jc w:val="center"/>
              <w:rPr>
                <w:b/>
                <w:bCs/>
                <w:sz w:val="24"/>
                <w:szCs w:val="24"/>
              </w:rPr>
            </w:pPr>
            <w:r>
              <w:rPr>
                <w:rFonts w:hint="eastAsia"/>
                <w:b/>
                <w:bCs/>
                <w:sz w:val="24"/>
                <w:szCs w:val="24"/>
              </w:rPr>
              <w:t>10</w:t>
            </w:r>
          </w:p>
        </w:tc>
        <w:tc>
          <w:tcPr>
            <w:tcW w:w="1134" w:type="dxa"/>
            <w:vAlign w:val="center"/>
          </w:tcPr>
          <w:p>
            <w:pPr>
              <w:spacing w:line="240" w:lineRule="auto"/>
              <w:ind w:firstLine="0" w:firstLineChars="0"/>
              <w:jc w:val="center"/>
              <w:rPr>
                <w:b/>
                <w:bCs/>
                <w:sz w:val="24"/>
                <w:szCs w:val="24"/>
              </w:rPr>
            </w:pPr>
            <w:r>
              <w:rPr>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观看演出的群众在满足精神文化需求的同时，文化素养不断提升，群众的满足感、获得感、幸福感进一步增强</w:t>
      </w:r>
      <w:r>
        <w:rPr>
          <w:rFonts w:hint="eastAsia" w:cs="仿宋_GB2312"/>
          <w:color w:val="333333"/>
          <w:szCs w:val="28"/>
        </w:rPr>
        <w:t>，并对演艺集团编排</w:t>
      </w:r>
      <w:r>
        <w:rPr>
          <w:rFonts w:cs="仿宋_GB2312"/>
          <w:color w:val="333333"/>
          <w:szCs w:val="28"/>
        </w:rPr>
        <w:t>音乐舞蹈史诗</w:t>
      </w:r>
      <w:r>
        <w:rPr>
          <w:rFonts w:hint="eastAsia" w:cs="仿宋_GB2312"/>
          <w:color w:val="333333"/>
          <w:szCs w:val="28"/>
        </w:rPr>
        <w:t>、话剧和秦腔获得了一致好评，人民群众满意度达到9</w:t>
      </w:r>
      <w:r>
        <w:rPr>
          <w:rFonts w:cs="仿宋_GB2312"/>
          <w:color w:val="333333"/>
          <w:szCs w:val="28"/>
        </w:rPr>
        <w:t>5%</w:t>
      </w:r>
      <w:r>
        <w:rPr>
          <w:rFonts w:hint="eastAsia"/>
          <w:szCs w:val="21"/>
        </w:rPr>
        <w:t>，该项指标达到了预期目标值。满意度指标分值10分，按评分标准得</w:t>
      </w:r>
      <w:r>
        <w:rPr>
          <w:szCs w:val="21"/>
        </w:rPr>
        <w:t>10</w:t>
      </w:r>
      <w:r>
        <w:rPr>
          <w:rFonts w:hint="eastAsia" w:ascii="宋体" w:hAnsi="宋体"/>
          <w:color w:val="333333"/>
          <w:szCs w:val="28"/>
        </w:rPr>
        <w:t>分，</w:t>
      </w:r>
      <w:r>
        <w:rPr>
          <w:rFonts w:hint="eastAsia"/>
          <w:szCs w:val="21"/>
        </w:rPr>
        <w:t>得分率</w:t>
      </w:r>
      <w:r>
        <w:rPr>
          <w:szCs w:val="21"/>
        </w:rPr>
        <w:t>100</w:t>
      </w:r>
      <w:r>
        <w:rPr>
          <w:rFonts w:hint="eastAsia"/>
          <w:szCs w:val="21"/>
        </w:rPr>
        <w:t>%。</w:t>
      </w:r>
    </w:p>
    <w:p>
      <w:pPr>
        <w:keepNext/>
        <w:keepLines/>
        <w:ind w:firstLine="562"/>
        <w:outlineLvl w:val="2"/>
        <w:rPr>
          <w:b/>
          <w:bCs/>
          <w:szCs w:val="28"/>
        </w:rPr>
      </w:pPr>
      <w:r>
        <w:rPr>
          <w:rFonts w:hint="eastAsia"/>
          <w:b/>
          <w:bCs/>
          <w:szCs w:val="28"/>
        </w:rPr>
        <w:t>4</w:t>
      </w:r>
      <w:r>
        <w:rPr>
          <w:rFonts w:hint="eastAsia" w:hAnsi="宋体"/>
          <w:b/>
          <w:bCs/>
          <w:szCs w:val="28"/>
        </w:rPr>
        <w:t>、</w:t>
      </w:r>
      <w:r>
        <w:rPr>
          <w:rFonts w:hint="eastAsia"/>
          <w:b/>
          <w:bCs/>
          <w:szCs w:val="28"/>
        </w:rPr>
        <w:t>偏离绩效目标的原因及下一步改进措施</w:t>
      </w:r>
    </w:p>
    <w:p>
      <w:pPr>
        <w:pStyle w:val="11"/>
        <w:ind w:firstLine="560"/>
      </w:pPr>
      <w:r>
        <w:rPr>
          <w:rFonts w:hint="eastAsia"/>
        </w:rPr>
        <w:t>无。</w:t>
      </w:r>
    </w:p>
    <w:p>
      <w:pPr>
        <w:pStyle w:val="3"/>
        <w:ind w:firstLine="643"/>
      </w:pPr>
      <w:bookmarkStart w:id="100" w:name="_Toc2724"/>
      <w:r>
        <w:rPr>
          <w:rFonts w:hint="eastAsia"/>
        </w:rPr>
        <w:t>（二十六）项目26－疫情防控宣传报道补助经费</w:t>
      </w:r>
      <w:bookmarkEnd w:id="100"/>
    </w:p>
    <w:p>
      <w:pPr>
        <w:pStyle w:val="4"/>
        <w:ind w:firstLine="562"/>
        <w:rPr>
          <w:szCs w:val="28"/>
        </w:rPr>
      </w:pPr>
      <w:r>
        <w:rPr>
          <w:rFonts w:hint="eastAsia"/>
          <w:szCs w:val="28"/>
        </w:rPr>
        <w:t>1</w:t>
      </w:r>
      <w:r>
        <w:rPr>
          <w:rFonts w:hint="eastAsia" w:hAnsi="宋体"/>
          <w:szCs w:val="28"/>
        </w:rPr>
        <w:t>、</w:t>
      </w:r>
      <w:r>
        <w:rPr>
          <w:rFonts w:hint="eastAsia"/>
          <w:szCs w:val="28"/>
        </w:rPr>
        <w:t>项目支出预算执行情况</w:t>
      </w:r>
    </w:p>
    <w:p>
      <w:pPr>
        <w:ind w:firstLine="560"/>
        <w:rPr>
          <w:szCs w:val="28"/>
        </w:rPr>
      </w:pPr>
      <w:r>
        <w:rPr>
          <w:rFonts w:hint="eastAsia"/>
          <w:szCs w:val="28"/>
        </w:rPr>
        <w:t>疫情防控宣传报道补助经费项目全年预算数300万元，全年支出数270万元，预算执行率90</w:t>
      </w:r>
      <w:r>
        <w:rPr>
          <w:szCs w:val="28"/>
        </w:rPr>
        <w:t>%</w:t>
      </w:r>
      <w:r>
        <w:rPr>
          <w:rFonts w:hint="eastAsia"/>
          <w:szCs w:val="28"/>
        </w:rPr>
        <w:t>，指标分值10分，按评分标准得9分，得分率90%。</w:t>
      </w:r>
    </w:p>
    <w:p>
      <w:pPr>
        <w:pStyle w:val="4"/>
        <w:ind w:firstLine="562"/>
        <w:rPr>
          <w:szCs w:val="28"/>
        </w:rPr>
      </w:pPr>
      <w:r>
        <w:rPr>
          <w:rFonts w:hint="eastAsia"/>
          <w:szCs w:val="28"/>
        </w:rPr>
        <w:t>2</w:t>
      </w:r>
      <w:r>
        <w:rPr>
          <w:rFonts w:hint="eastAsia" w:hAnsi="宋体"/>
          <w:szCs w:val="28"/>
        </w:rPr>
        <w:t>、</w:t>
      </w:r>
      <w:r>
        <w:rPr>
          <w:rFonts w:hint="eastAsia"/>
          <w:szCs w:val="28"/>
        </w:rPr>
        <w:t>总体绩效目标完成情况分析</w:t>
      </w:r>
    </w:p>
    <w:p>
      <w:pPr>
        <w:ind w:firstLine="560"/>
        <w:rPr>
          <w:szCs w:val="28"/>
        </w:rPr>
      </w:pPr>
      <w:r>
        <w:rPr>
          <w:rFonts w:hint="eastAsia"/>
          <w:szCs w:val="28"/>
        </w:rPr>
        <w:t>本项目自评价得分99分，自评结果为“优”。主要任务完成情况分析如下：</w:t>
      </w:r>
    </w:p>
    <w:p>
      <w:pPr>
        <w:ind w:firstLine="562"/>
        <w:rPr>
          <w:szCs w:val="28"/>
        </w:rPr>
      </w:pPr>
      <w:r>
        <w:rPr>
          <w:rFonts w:hint="eastAsia"/>
          <w:b/>
          <w:bCs/>
          <w:szCs w:val="28"/>
        </w:rPr>
        <w:t>预期目标：</w:t>
      </w:r>
      <w:r>
        <w:rPr>
          <w:rFonts w:hint="eastAsia"/>
          <w:szCs w:val="28"/>
        </w:rPr>
        <w:t>加强全省疫情防控宣传报道，及时准确发布权威信息，积极回应社会关切，有力引导舆论，形成强大声势，为全省齐心协力抗击疫情凝聚起强大精神力量；根据工作计划完成全省疫情防控媒体宣传报道工作，使得人民群众满意度达到80%以上。</w:t>
      </w:r>
    </w:p>
    <w:p>
      <w:pPr>
        <w:ind w:firstLine="562"/>
        <w:rPr>
          <w:szCs w:val="28"/>
        </w:rPr>
      </w:pPr>
      <w:r>
        <w:rPr>
          <w:rFonts w:hint="eastAsia"/>
          <w:b/>
          <w:bCs/>
          <w:szCs w:val="28"/>
        </w:rPr>
        <w:t>实际完成情况：</w:t>
      </w:r>
      <w:r>
        <w:rPr>
          <w:rFonts w:hint="eastAsia"/>
          <w:szCs w:val="28"/>
        </w:rPr>
        <w:t>2021年我部积极组织协调省委网信办、省属主要新闻单位开展涉疫宣传报道，省属媒体闻令而动，调集优势采编力量，全方位、多角度及时准确发布权威报道，讲好战“疚”故事，积极回应社会关切，有力引导舆论，形成了强大宣传声势，为全省齐心协力抗击疫情凝聚了强大精神力量，补助主要媒体4家，新闻媒体发稿100余篇，组织重大主题宣传集中采访10余次，为支持省属媒和重点网站做好疫情防控宣传报道。</w:t>
      </w:r>
    </w:p>
    <w:p>
      <w:pPr>
        <w:pStyle w:val="4"/>
        <w:ind w:firstLine="562"/>
      </w:pPr>
      <w:r>
        <w:rPr>
          <w:rFonts w:hint="eastAsia"/>
        </w:rPr>
        <w:t>3</w:t>
      </w:r>
      <w:r>
        <w:rPr>
          <w:rFonts w:hint="eastAsia" w:hAnsi="宋体"/>
        </w:rPr>
        <w:t>、</w:t>
      </w:r>
      <w:r>
        <w:rPr>
          <w:rFonts w:hint="eastAsia"/>
        </w:rPr>
        <w:t>各项指标完成情况分析</w:t>
      </w:r>
    </w:p>
    <w:p>
      <w:pPr>
        <w:ind w:firstLine="560"/>
        <w:rPr>
          <w:b/>
          <w:bCs/>
          <w:szCs w:val="28"/>
          <w:lang w:bidi="ar"/>
        </w:rPr>
      </w:pPr>
      <w:r>
        <w:rPr>
          <w:rFonts w:hint="eastAsia"/>
          <w:b/>
          <w:bCs/>
          <w:szCs w:val="28"/>
          <w:lang w:bidi="ar"/>
        </w:rPr>
        <w:t>（1）产出指标</w:t>
      </w:r>
    </w:p>
    <w:p>
      <w:pPr>
        <w:ind w:firstLine="560"/>
        <w:rPr>
          <w:szCs w:val="28"/>
          <w:lang w:bidi="ar"/>
        </w:rPr>
      </w:pPr>
      <w:r>
        <w:rPr>
          <w:rFonts w:hint="eastAsia"/>
          <w:szCs w:val="28"/>
          <w:lang w:bidi="ar"/>
        </w:rPr>
        <w:t>产出指标包括数量指标、质量指标、时效指标和成本指标4个二级指标，10个三级指标，指标总分值50分，自评得分50分，得分率100%。指标分析如下：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575"/>
        <w:gridCol w:w="1545"/>
        <w:gridCol w:w="705"/>
        <w:gridCol w:w="86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发稿数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≥100篇（条）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100篇（条）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媒体宣传数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重大主题宣传集中采访活动</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补助媒体数</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4家</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举办新闻发布会场次</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≥2次</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3场</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主要媒体应补尽补率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重大主题宣传集中采访活动覆盖率</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7</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宣传活动完成及时性</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媒体补助拨付及时性</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及时</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4</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000000"/>
                <w:sz w:val="24"/>
                <w:szCs w:val="24"/>
              </w:rPr>
            </w:pPr>
            <w:r>
              <w:rPr>
                <w:rFonts w:hint="eastAsia"/>
                <w:color w:val="000000"/>
                <w:sz w:val="24"/>
                <w:szCs w:val="24"/>
              </w:rPr>
              <w:t>成本控制情况</w:t>
            </w:r>
          </w:p>
        </w:tc>
        <w:tc>
          <w:tcPr>
            <w:tcW w:w="15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在预算范围内</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100%</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4"/>
                <w:szCs w:val="24"/>
              </w:rPr>
            </w:pPr>
            <w:r>
              <w:rPr>
                <w:rFonts w:hint="eastAsia"/>
                <w:color w:val="000000"/>
                <w:sz w:val="24"/>
                <w:szCs w:val="24"/>
              </w:rPr>
              <w:t>3</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00000"/>
                <w:sz w:val="22"/>
              </w:rPr>
            </w:pPr>
            <w:r>
              <w:rPr>
                <w:rFonts w:hint="eastAsia"/>
                <w:color w:val="00000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86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50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100%</w:t>
            </w:r>
          </w:p>
        </w:tc>
      </w:tr>
    </w:tbl>
    <w:p>
      <w:pPr>
        <w:spacing w:line="540" w:lineRule="exact"/>
        <w:ind w:firstLine="644" w:firstLineChars="229"/>
        <w:rPr>
          <w:color w:val="FF0000"/>
          <w:lang w:bidi="ar"/>
        </w:rPr>
      </w:pPr>
      <w:r>
        <w:rPr>
          <w:rFonts w:hint="eastAsia"/>
          <w:b/>
          <w:bCs/>
          <w:szCs w:val="28"/>
          <w:lang w:bidi="ar"/>
        </w:rPr>
        <w:t>数量指标：</w:t>
      </w:r>
      <w:r>
        <w:rPr>
          <w:rFonts w:hint="eastAsia"/>
          <w:szCs w:val="28"/>
          <w:lang w:bidi="ar"/>
        </w:rPr>
        <w:t>为了更好地开展抗疫新闻报道和宣传引导，我部租用专用视频会议室举行甘肃省疫情防控新闻发布会，举办新闻发布会4场，省委网信办协调新闻网站、商业网站加强正面宣传稿件推送，发稿数达100余篇，补助主要媒体4家，甘肃日报社、省广电总台、甘肃日报报业集团和重点网络媒体派出大批记者投身抗疫一线，媒体宣传数达100余次，取消商业广告，增加专版、增设专栏，通过刊发消息、通讯、评论，刊播短视频，科普宣传片、游动字幕、海报、长图等多种形式，制作了一大批重磅新闻报道，组织重大主题宣传集中采访活动10余次。数量指标均达到目标值，指标分值合计25分，按评分标准得25分，得分率100%。</w:t>
      </w:r>
    </w:p>
    <w:p>
      <w:pPr>
        <w:ind w:firstLine="562"/>
        <w:rPr>
          <w:szCs w:val="28"/>
        </w:rPr>
      </w:pPr>
      <w:r>
        <w:rPr>
          <w:rFonts w:hint="eastAsia"/>
          <w:b/>
          <w:bCs/>
          <w:szCs w:val="28"/>
        </w:rPr>
        <w:t>质量指标：</w:t>
      </w:r>
      <w:r>
        <w:rPr>
          <w:rFonts w:hint="eastAsia"/>
          <w:szCs w:val="28"/>
        </w:rPr>
        <w:t>2021年我部加强全省疫情防控宣传报道，及时准确发布权威信息，积极回应社会关切，有力引导舆论，</w:t>
      </w:r>
      <w:r>
        <w:rPr>
          <w:rFonts w:hint="eastAsia"/>
          <w:szCs w:val="28"/>
          <w:lang w:eastAsia="zh-CN"/>
        </w:rPr>
        <w:t>形成</w:t>
      </w:r>
      <w:r>
        <w:rPr>
          <w:rFonts w:hint="eastAsia"/>
          <w:szCs w:val="28"/>
        </w:rPr>
        <w:t>强大声势，为全省齐心协力抗击疫情凝聚起强大精神力量，主要媒体应补尽补率、重大主题宣传集中采访活动覆盖率均达到100%。质量指标均达到目标值，指标分值合计14分，按评分标准得14分，得分率</w:t>
      </w:r>
      <w:r>
        <w:rPr>
          <w:szCs w:val="28"/>
        </w:rPr>
        <w:t>100</w:t>
      </w:r>
      <w:r>
        <w:rPr>
          <w:rFonts w:hint="eastAsia"/>
          <w:szCs w:val="28"/>
        </w:rPr>
        <w:t>%。</w:t>
      </w:r>
    </w:p>
    <w:p>
      <w:pPr>
        <w:ind w:firstLine="562"/>
        <w:rPr>
          <w:szCs w:val="28"/>
        </w:rPr>
      </w:pPr>
      <w:r>
        <w:rPr>
          <w:rFonts w:hint="eastAsia"/>
          <w:b/>
          <w:bCs/>
          <w:szCs w:val="28"/>
        </w:rPr>
        <w:t>时效指标：</w:t>
      </w:r>
      <w:r>
        <w:rPr>
          <w:rFonts w:hint="eastAsia"/>
          <w:szCs w:val="28"/>
        </w:rPr>
        <w:t>我部及时响应疫情防控工作，为主要新闻媒体及时发放补贴，媒体宣传活动均在计划时间内完成，我部快速响应，全力保障疫情防控。时效指标均达到了预期目标值，指标分值合计8分，按评分标准得8分，得分率100%。</w:t>
      </w:r>
    </w:p>
    <w:p>
      <w:pPr>
        <w:ind w:firstLine="562"/>
        <w:rPr>
          <w:szCs w:val="28"/>
        </w:rPr>
      </w:pPr>
      <w:r>
        <w:rPr>
          <w:rFonts w:hint="eastAsia"/>
          <w:b/>
          <w:bCs/>
          <w:szCs w:val="28"/>
        </w:rPr>
        <w:t>成本指标：</w:t>
      </w:r>
      <w:r>
        <w:rPr>
          <w:rFonts w:hint="eastAsia"/>
          <w:szCs w:val="28"/>
        </w:rPr>
        <w:t>疫情防控宣传报道补助经费全年预算资金为300万元，实际支出270万元，无超预算开支，成本控制在预算范围内，达到了预期目标值。</w:t>
      </w:r>
      <w:r>
        <w:rPr>
          <w:rStyle w:val="24"/>
          <w:rFonts w:hint="eastAsia"/>
          <w:sz w:val="28"/>
          <w:szCs w:val="28"/>
        </w:rPr>
        <w:t>指标</w:t>
      </w:r>
      <w:r>
        <w:rPr>
          <w:rFonts w:hint="eastAsia"/>
          <w:szCs w:val="28"/>
        </w:rPr>
        <w:t>分值3分，按评分标准得3分，得分率100%。</w:t>
      </w:r>
    </w:p>
    <w:p>
      <w:pPr>
        <w:ind w:firstLine="560"/>
        <w:rPr>
          <w:szCs w:val="28"/>
        </w:rPr>
      </w:pPr>
      <w:r>
        <w:rPr>
          <w:rFonts w:hint="eastAsia"/>
          <w:b/>
          <w:bCs/>
          <w:szCs w:val="28"/>
        </w:rPr>
        <w:t>（2）效益指标</w:t>
      </w:r>
    </w:p>
    <w:p>
      <w:pPr>
        <w:ind w:firstLine="560"/>
        <w:rPr>
          <w:szCs w:val="28"/>
          <w:lang w:bidi="ar"/>
        </w:rPr>
      </w:pPr>
      <w:r>
        <w:rPr>
          <w:rFonts w:hint="eastAsia"/>
          <w:szCs w:val="28"/>
          <w:lang w:bidi="ar"/>
        </w:rPr>
        <w:t>效益指标包括社会效益指标和可持续影响指标</w:t>
      </w:r>
      <w:r>
        <w:rPr>
          <w:szCs w:val="28"/>
          <w:lang w:bidi="ar"/>
        </w:rPr>
        <w:t>2</w:t>
      </w:r>
      <w:r>
        <w:rPr>
          <w:rFonts w:hint="eastAsia"/>
          <w:szCs w:val="28"/>
          <w:lang w:bidi="ar"/>
        </w:rPr>
        <w:t>个二级指标，</w:t>
      </w:r>
      <w:r>
        <w:rPr>
          <w:szCs w:val="28"/>
          <w:lang w:bidi="ar"/>
        </w:rPr>
        <w:t>3</w:t>
      </w:r>
      <w:r>
        <w:rPr>
          <w:rFonts w:hint="eastAsia"/>
          <w:szCs w:val="28"/>
          <w:lang w:bidi="ar"/>
        </w:rPr>
        <w:t>个三级指标，指标总分值30分，自评得分</w:t>
      </w:r>
      <w:r>
        <w:rPr>
          <w:szCs w:val="28"/>
          <w:lang w:bidi="ar"/>
        </w:rPr>
        <w:t>30</w:t>
      </w:r>
      <w:r>
        <w:rPr>
          <w:rFonts w:hint="eastAsia"/>
          <w:szCs w:val="28"/>
          <w:lang w:bidi="ar"/>
        </w:rPr>
        <w:t>分，得分率</w:t>
      </w:r>
      <w:r>
        <w:rPr>
          <w:szCs w:val="28"/>
          <w:lang w:bidi="ar"/>
        </w:rPr>
        <w:t>100</w:t>
      </w:r>
      <w:r>
        <w:rPr>
          <w:rFonts w:hint="eastAsia"/>
          <w:szCs w:val="28"/>
          <w:lang w:bidi="ar"/>
        </w:rPr>
        <w:t>%。指标分析如下：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185"/>
        <w:gridCol w:w="1220"/>
        <w:gridCol w:w="709"/>
        <w:gridCol w:w="70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三级指标</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年度指标值</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实际完成值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分值</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sz w:val="24"/>
                <w:szCs w:val="24"/>
              </w:rPr>
            </w:pPr>
            <w:r>
              <w:rPr>
                <w:rFonts w:hAnsi="等线"/>
                <w:b/>
                <w:sz w:val="24"/>
                <w:szCs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省内疫情防控政策群众知晓率</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≥75%</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80%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提高群众疫情防控意识</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提高</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cs="仿宋_GB2312"/>
                <w:color w:val="000000"/>
                <w:sz w:val="24"/>
                <w:szCs w:val="24"/>
              </w:rPr>
            </w:pPr>
            <w:r>
              <w:rPr>
                <w:rFonts w:hint="eastAsia" w:cs="仿宋_GB2312"/>
                <w:color w:val="000000"/>
                <w:sz w:val="24"/>
                <w:szCs w:val="24"/>
              </w:rPr>
              <w:t>疫情应急响应机制健全性</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健全</w:t>
            </w: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仿宋_GB2312"/>
                <w:color w:val="000000"/>
                <w:sz w:val="24"/>
                <w:szCs w:val="24"/>
              </w:rPr>
            </w:pPr>
            <w:r>
              <w:rPr>
                <w:rFonts w:hint="eastAsia" w:cs="仿宋_GB2312"/>
                <w:b/>
                <w:bCs/>
                <w:color w:val="000000"/>
                <w:sz w:val="24"/>
                <w:szCs w:val="24"/>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int="eastAsia" w:hAnsi="等线"/>
                <w:b/>
                <w:bCs/>
                <w:sz w:val="24"/>
                <w:szCs w:val="24"/>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30</w:t>
            </w:r>
          </w:p>
        </w:tc>
        <w:tc>
          <w:tcPr>
            <w:tcW w:w="10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等线"/>
                <w:b/>
                <w:bCs/>
                <w:sz w:val="24"/>
                <w:szCs w:val="24"/>
              </w:rPr>
            </w:pPr>
            <w:r>
              <w:rPr>
                <w:rFonts w:hAnsi="等线"/>
                <w:b/>
                <w:bCs/>
                <w:sz w:val="24"/>
                <w:szCs w:val="24"/>
              </w:rPr>
              <w:t>100</w:t>
            </w:r>
            <w:r>
              <w:rPr>
                <w:rFonts w:hint="eastAsia" w:hAnsi="等线"/>
                <w:b/>
                <w:bCs/>
                <w:sz w:val="24"/>
                <w:szCs w:val="24"/>
              </w:rPr>
              <w:t>%</w:t>
            </w:r>
          </w:p>
        </w:tc>
      </w:tr>
    </w:tbl>
    <w:p>
      <w:pPr>
        <w:ind w:firstLine="562"/>
        <w:rPr>
          <w:szCs w:val="28"/>
          <w:lang w:bidi="ar"/>
        </w:rPr>
      </w:pPr>
      <w:r>
        <w:rPr>
          <w:rFonts w:hint="eastAsia"/>
          <w:b/>
          <w:bCs/>
          <w:szCs w:val="28"/>
          <w:lang w:bidi="ar"/>
        </w:rPr>
        <w:t>社会效益指标：</w:t>
      </w:r>
      <w:r>
        <w:rPr>
          <w:rFonts w:hint="eastAsia"/>
          <w:szCs w:val="28"/>
          <w:lang w:bidi="ar"/>
        </w:rPr>
        <w:t>我部积极组织新闻媒体增加专版、增设专栏，通过刊发消息、通讯、评论，刊播短视频，科普宣传片、游动字幕、海报、长图等方式开展疫情防控专题报道，进一步提高了人民群众疫情防控意义，省内疫情防控政策群众知晓率高达80%，为切实做好防控工作，全力打赢疫情防控攻坚战提供了保障。社会效益指标均达到目标值。社会效益指标分值20分，按评分标准得20分，得分率</w:t>
      </w:r>
      <w:r>
        <w:rPr>
          <w:szCs w:val="28"/>
          <w:lang w:bidi="ar"/>
        </w:rPr>
        <w:t>100</w:t>
      </w:r>
      <w:r>
        <w:rPr>
          <w:rFonts w:hint="eastAsia"/>
          <w:szCs w:val="28"/>
          <w:lang w:bidi="ar"/>
        </w:rPr>
        <w:t>%。</w:t>
      </w:r>
    </w:p>
    <w:p>
      <w:pPr>
        <w:ind w:firstLine="562"/>
      </w:pPr>
      <w:r>
        <w:rPr>
          <w:rFonts w:hint="eastAsia"/>
          <w:b/>
          <w:bCs/>
        </w:rPr>
        <w:t>可持续影响指标：</w:t>
      </w:r>
      <w:r>
        <w:rPr>
          <w:rFonts w:hint="eastAsia"/>
        </w:rPr>
        <w:t>各大传统媒体在疫情期间，积极发挥主力军主渠道主阵地作用，及时启动重大突发公共事件应急响应机制，全面转入抗疫防疫报道“战时”状态，突出宣传习近平总书记重要指示精神和党中央的坚强领导，及时报道防控疫情的工作举措和进展成效，准确发布疫情权威信息，深入报道抗击疫情中的先进典型和社会各界支援抗疫一线的感人事迹。疫情响应急响应机制健全，达到了既定目标值。指标分值合计10分，按评分标准得10分，得分率100%。</w:t>
      </w:r>
    </w:p>
    <w:p>
      <w:pPr>
        <w:ind w:firstLine="560"/>
        <w:rPr>
          <w:b/>
          <w:bCs/>
          <w:szCs w:val="28"/>
        </w:rPr>
      </w:pPr>
      <w:r>
        <w:rPr>
          <w:rFonts w:hint="eastAsia"/>
          <w:b/>
          <w:bCs/>
          <w:szCs w:val="28"/>
        </w:rPr>
        <w:t>（3）满意度指标</w:t>
      </w:r>
    </w:p>
    <w:p>
      <w:pPr>
        <w:ind w:firstLine="560"/>
        <w:rPr>
          <w:szCs w:val="28"/>
          <w:lang w:bidi="ar"/>
        </w:rPr>
      </w:pPr>
      <w:r>
        <w:rPr>
          <w:rFonts w:hint="eastAsia"/>
          <w:szCs w:val="28"/>
          <w:lang w:bidi="ar"/>
        </w:rPr>
        <w:t>满意度指标包括受补助媒体工作人员满意度、人民群众满意度2个三级指标，指标总分值10分，自评得分10分，得分率100%。指标分析如下：</w:t>
      </w:r>
    </w:p>
    <w:tbl>
      <w:tblPr>
        <w:tblStyle w:val="20"/>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095"/>
        <w:gridCol w:w="1110"/>
        <w:gridCol w:w="900"/>
        <w:gridCol w:w="80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3348" w:type="dxa"/>
            <w:vAlign w:val="center"/>
          </w:tcPr>
          <w:p>
            <w:pPr>
              <w:spacing w:line="240" w:lineRule="auto"/>
              <w:ind w:firstLine="0" w:firstLineChars="0"/>
              <w:jc w:val="center"/>
              <w:rPr>
                <w:b/>
                <w:bCs/>
                <w:sz w:val="24"/>
                <w:szCs w:val="24"/>
              </w:rPr>
            </w:pPr>
            <w:r>
              <w:rPr>
                <w:rFonts w:hint="eastAsia"/>
                <w:b/>
                <w:bCs/>
                <w:sz w:val="24"/>
                <w:szCs w:val="24"/>
              </w:rPr>
              <w:t>三级指标</w:t>
            </w:r>
          </w:p>
        </w:tc>
        <w:tc>
          <w:tcPr>
            <w:tcW w:w="1095" w:type="dxa"/>
            <w:vAlign w:val="center"/>
          </w:tcPr>
          <w:p>
            <w:pPr>
              <w:spacing w:line="240" w:lineRule="auto"/>
              <w:ind w:firstLine="0" w:firstLineChars="0"/>
              <w:jc w:val="center"/>
              <w:rPr>
                <w:b/>
                <w:bCs/>
                <w:sz w:val="24"/>
                <w:szCs w:val="24"/>
              </w:rPr>
            </w:pPr>
            <w:r>
              <w:rPr>
                <w:rFonts w:hint="eastAsia"/>
                <w:b/>
                <w:bCs/>
                <w:sz w:val="24"/>
                <w:szCs w:val="24"/>
              </w:rPr>
              <w:t>年度指标值</w:t>
            </w:r>
          </w:p>
        </w:tc>
        <w:tc>
          <w:tcPr>
            <w:tcW w:w="1110" w:type="dxa"/>
            <w:vAlign w:val="center"/>
          </w:tcPr>
          <w:p>
            <w:pPr>
              <w:spacing w:line="240" w:lineRule="auto"/>
              <w:ind w:firstLine="0" w:firstLineChars="0"/>
              <w:jc w:val="center"/>
              <w:rPr>
                <w:b/>
                <w:bCs/>
                <w:sz w:val="24"/>
                <w:szCs w:val="24"/>
              </w:rPr>
            </w:pPr>
            <w:r>
              <w:rPr>
                <w:rFonts w:hint="eastAsia"/>
                <w:b/>
                <w:bCs/>
                <w:sz w:val="24"/>
                <w:szCs w:val="24"/>
              </w:rPr>
              <w:t>实际完成值</w:t>
            </w:r>
          </w:p>
        </w:tc>
        <w:tc>
          <w:tcPr>
            <w:tcW w:w="900" w:type="dxa"/>
            <w:vAlign w:val="center"/>
          </w:tcPr>
          <w:p>
            <w:pPr>
              <w:spacing w:line="240" w:lineRule="auto"/>
              <w:ind w:firstLine="0" w:firstLineChars="0"/>
              <w:jc w:val="center"/>
              <w:rPr>
                <w:b/>
                <w:bCs/>
                <w:sz w:val="24"/>
                <w:szCs w:val="24"/>
              </w:rPr>
            </w:pPr>
            <w:r>
              <w:rPr>
                <w:rFonts w:hint="eastAsia"/>
                <w:b/>
                <w:bCs/>
                <w:sz w:val="24"/>
                <w:szCs w:val="24"/>
              </w:rPr>
              <w:t>分值</w:t>
            </w:r>
          </w:p>
        </w:tc>
        <w:tc>
          <w:tcPr>
            <w:tcW w:w="805" w:type="dxa"/>
            <w:vAlign w:val="center"/>
          </w:tcPr>
          <w:p>
            <w:pPr>
              <w:spacing w:line="240" w:lineRule="auto"/>
              <w:ind w:firstLine="0" w:firstLineChars="0"/>
              <w:jc w:val="center"/>
              <w:rPr>
                <w:b/>
                <w:bCs/>
                <w:sz w:val="24"/>
                <w:szCs w:val="24"/>
              </w:rPr>
            </w:pPr>
            <w:r>
              <w:rPr>
                <w:rFonts w:hint="eastAsia"/>
                <w:b/>
                <w:bCs/>
                <w:sz w:val="24"/>
                <w:szCs w:val="24"/>
              </w:rPr>
              <w:t>得分</w:t>
            </w:r>
          </w:p>
        </w:tc>
        <w:tc>
          <w:tcPr>
            <w:tcW w:w="964" w:type="dxa"/>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8" w:type="dxa"/>
            <w:vAlign w:val="center"/>
          </w:tcPr>
          <w:p>
            <w:pPr>
              <w:spacing w:line="240" w:lineRule="auto"/>
              <w:ind w:firstLine="0" w:firstLineChars="0"/>
              <w:rPr>
                <w:rFonts w:ascii="宋体" w:hAnsi="宋体"/>
                <w:color w:val="333333"/>
                <w:sz w:val="24"/>
                <w:szCs w:val="24"/>
              </w:rPr>
            </w:pPr>
            <w:r>
              <w:rPr>
                <w:rFonts w:hint="eastAsia"/>
                <w:color w:val="000000"/>
                <w:sz w:val="24"/>
                <w:szCs w:val="24"/>
              </w:rPr>
              <w:t>受补助媒体工作人员满意度</w:t>
            </w:r>
          </w:p>
        </w:tc>
        <w:tc>
          <w:tcPr>
            <w:tcW w:w="1095"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≥90%</w:t>
            </w:r>
          </w:p>
        </w:tc>
        <w:tc>
          <w:tcPr>
            <w:tcW w:w="1110" w:type="dxa"/>
            <w:vAlign w:val="center"/>
          </w:tcPr>
          <w:p>
            <w:pPr>
              <w:spacing w:line="240" w:lineRule="auto"/>
              <w:ind w:firstLine="0" w:firstLineChars="0"/>
              <w:jc w:val="center"/>
              <w:rPr>
                <w:rFonts w:cs="仿宋_GB2312"/>
                <w:color w:val="000000"/>
                <w:sz w:val="24"/>
                <w:szCs w:val="24"/>
              </w:rPr>
            </w:pPr>
            <w:r>
              <w:rPr>
                <w:rFonts w:hint="eastAsia"/>
                <w:color w:val="000000"/>
                <w:sz w:val="24"/>
                <w:szCs w:val="24"/>
              </w:rPr>
              <w:t>95%</w:t>
            </w:r>
          </w:p>
        </w:tc>
        <w:tc>
          <w:tcPr>
            <w:tcW w:w="900" w:type="dxa"/>
            <w:vAlign w:val="center"/>
          </w:tcPr>
          <w:p>
            <w:pPr>
              <w:spacing w:line="240" w:lineRule="auto"/>
              <w:ind w:firstLine="0" w:firstLineChars="0"/>
              <w:jc w:val="center"/>
              <w:rPr>
                <w:rFonts w:cs="仿宋_GB2312"/>
                <w:sz w:val="24"/>
                <w:szCs w:val="24"/>
              </w:rPr>
            </w:pPr>
            <w:r>
              <w:rPr>
                <w:rFonts w:hint="eastAsia"/>
                <w:color w:val="000000"/>
                <w:sz w:val="24"/>
                <w:szCs w:val="24"/>
              </w:rPr>
              <w:t>5</w:t>
            </w:r>
          </w:p>
        </w:tc>
        <w:tc>
          <w:tcPr>
            <w:tcW w:w="805" w:type="dxa"/>
            <w:vAlign w:val="center"/>
          </w:tcPr>
          <w:p>
            <w:pPr>
              <w:spacing w:line="240" w:lineRule="auto"/>
              <w:ind w:firstLine="0" w:firstLineChars="0"/>
              <w:jc w:val="center"/>
              <w:rPr>
                <w:rFonts w:cs="仿宋_GB2312"/>
                <w:sz w:val="24"/>
                <w:szCs w:val="24"/>
              </w:rPr>
            </w:pPr>
            <w:r>
              <w:rPr>
                <w:rFonts w:hint="eastAsia"/>
                <w:color w:val="000000"/>
                <w:sz w:val="24"/>
                <w:szCs w:val="24"/>
              </w:rPr>
              <w:t xml:space="preserve">5 </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8" w:type="dxa"/>
            <w:vAlign w:val="center"/>
          </w:tcPr>
          <w:p>
            <w:pPr>
              <w:spacing w:line="240" w:lineRule="auto"/>
              <w:ind w:firstLine="0" w:firstLineChars="0"/>
              <w:rPr>
                <w:color w:val="000000"/>
                <w:sz w:val="24"/>
                <w:szCs w:val="24"/>
              </w:rPr>
            </w:pPr>
            <w:r>
              <w:rPr>
                <w:rFonts w:hint="eastAsia"/>
                <w:color w:val="000000"/>
                <w:sz w:val="24"/>
                <w:szCs w:val="24"/>
              </w:rPr>
              <w:t>人民群众满意度</w:t>
            </w:r>
          </w:p>
        </w:tc>
        <w:tc>
          <w:tcPr>
            <w:tcW w:w="1095" w:type="dxa"/>
            <w:vAlign w:val="center"/>
          </w:tcPr>
          <w:p>
            <w:pPr>
              <w:spacing w:line="240" w:lineRule="auto"/>
              <w:ind w:firstLine="0" w:firstLineChars="0"/>
              <w:jc w:val="center"/>
              <w:rPr>
                <w:color w:val="000000"/>
                <w:sz w:val="24"/>
                <w:szCs w:val="24"/>
              </w:rPr>
            </w:pPr>
            <w:r>
              <w:rPr>
                <w:rFonts w:hint="eastAsia"/>
                <w:color w:val="000000"/>
                <w:sz w:val="24"/>
                <w:szCs w:val="24"/>
              </w:rPr>
              <w:t>≥80%</w:t>
            </w:r>
          </w:p>
        </w:tc>
        <w:tc>
          <w:tcPr>
            <w:tcW w:w="1110" w:type="dxa"/>
            <w:vAlign w:val="center"/>
          </w:tcPr>
          <w:p>
            <w:pPr>
              <w:spacing w:line="240" w:lineRule="auto"/>
              <w:ind w:firstLine="0" w:firstLineChars="0"/>
              <w:jc w:val="center"/>
              <w:rPr>
                <w:color w:val="000000"/>
                <w:sz w:val="24"/>
                <w:szCs w:val="24"/>
              </w:rPr>
            </w:pPr>
            <w:r>
              <w:rPr>
                <w:rFonts w:hint="eastAsia"/>
                <w:color w:val="000000"/>
                <w:sz w:val="24"/>
                <w:szCs w:val="24"/>
              </w:rPr>
              <w:t>85%</w:t>
            </w:r>
          </w:p>
        </w:tc>
        <w:tc>
          <w:tcPr>
            <w:tcW w:w="900"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805" w:type="dxa"/>
            <w:vAlign w:val="center"/>
          </w:tcPr>
          <w:p>
            <w:pPr>
              <w:spacing w:line="240" w:lineRule="auto"/>
              <w:ind w:firstLine="0" w:firstLineChars="0"/>
              <w:jc w:val="center"/>
              <w:rPr>
                <w:color w:val="000000"/>
                <w:sz w:val="24"/>
                <w:szCs w:val="24"/>
              </w:rPr>
            </w:pPr>
            <w:r>
              <w:rPr>
                <w:rFonts w:hint="eastAsia"/>
                <w:color w:val="000000"/>
                <w:sz w:val="24"/>
                <w:szCs w:val="24"/>
              </w:rPr>
              <w:t>5</w:t>
            </w:r>
          </w:p>
        </w:tc>
        <w:tc>
          <w:tcPr>
            <w:tcW w:w="964" w:type="dxa"/>
            <w:vAlign w:val="center"/>
          </w:tcPr>
          <w:p>
            <w:pPr>
              <w:spacing w:line="240" w:lineRule="auto"/>
              <w:ind w:firstLine="0" w:firstLineChars="0"/>
              <w:jc w:val="center"/>
              <w:rPr>
                <w:rFonts w:cs="仿宋_GB2312"/>
                <w:sz w:val="24"/>
                <w:szCs w:val="24"/>
              </w:rPr>
            </w:pPr>
            <w:r>
              <w:rPr>
                <w:rFonts w:hint="eastAsia"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3" w:type="dxa"/>
            <w:gridSpan w:val="3"/>
          </w:tcPr>
          <w:p>
            <w:pPr>
              <w:spacing w:line="240" w:lineRule="auto"/>
              <w:ind w:firstLine="0" w:firstLineChars="0"/>
              <w:jc w:val="center"/>
              <w:rPr>
                <w:b/>
                <w:bCs/>
                <w:sz w:val="24"/>
                <w:szCs w:val="24"/>
              </w:rPr>
            </w:pPr>
            <w:r>
              <w:rPr>
                <w:rFonts w:hint="eastAsia"/>
                <w:b/>
                <w:bCs/>
                <w:sz w:val="24"/>
                <w:szCs w:val="24"/>
              </w:rPr>
              <w:t>合计</w:t>
            </w:r>
          </w:p>
        </w:tc>
        <w:tc>
          <w:tcPr>
            <w:tcW w:w="900" w:type="dxa"/>
            <w:vAlign w:val="center"/>
          </w:tcPr>
          <w:p>
            <w:pPr>
              <w:spacing w:line="240" w:lineRule="auto"/>
              <w:ind w:firstLine="0" w:firstLineChars="0"/>
              <w:jc w:val="center"/>
              <w:rPr>
                <w:b/>
                <w:bCs/>
                <w:sz w:val="24"/>
                <w:szCs w:val="24"/>
              </w:rPr>
            </w:pPr>
            <w:r>
              <w:rPr>
                <w:rFonts w:hint="eastAsia"/>
                <w:b/>
                <w:bCs/>
                <w:sz w:val="24"/>
                <w:szCs w:val="24"/>
              </w:rPr>
              <w:t>10</w:t>
            </w:r>
          </w:p>
        </w:tc>
        <w:tc>
          <w:tcPr>
            <w:tcW w:w="805" w:type="dxa"/>
            <w:vAlign w:val="center"/>
          </w:tcPr>
          <w:p>
            <w:pPr>
              <w:spacing w:line="240" w:lineRule="auto"/>
              <w:ind w:firstLine="0" w:firstLineChars="0"/>
              <w:jc w:val="center"/>
              <w:rPr>
                <w:b/>
                <w:bCs/>
                <w:sz w:val="24"/>
                <w:szCs w:val="24"/>
              </w:rPr>
            </w:pPr>
            <w:r>
              <w:rPr>
                <w:rFonts w:hint="eastAsia"/>
                <w:b/>
                <w:bCs/>
                <w:sz w:val="24"/>
                <w:szCs w:val="24"/>
              </w:rPr>
              <w:t>10</w:t>
            </w:r>
          </w:p>
        </w:tc>
        <w:tc>
          <w:tcPr>
            <w:tcW w:w="964" w:type="dxa"/>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ascii="宋体" w:hAnsi="宋体"/>
          <w:color w:val="333333"/>
          <w:szCs w:val="28"/>
        </w:rPr>
      </w:pPr>
      <w:r>
        <w:rPr>
          <w:rFonts w:hint="eastAsia" w:ascii="宋体" w:hAnsi="宋体"/>
          <w:b/>
          <w:bCs/>
          <w:color w:val="333333"/>
          <w:szCs w:val="28"/>
        </w:rPr>
        <w:t>满意度指标：</w:t>
      </w:r>
      <w:r>
        <w:rPr>
          <w:rFonts w:hint="eastAsia" w:ascii="宋体" w:hAnsi="宋体"/>
          <w:color w:val="333333"/>
          <w:szCs w:val="28"/>
        </w:rPr>
        <w:t>面对突如其来的疫情，省属媒体闻令而动，调集优势采编力量，全方位、多角度及时准确发布权威报道，我部及时下发主要媒体补助资金，为</w:t>
      </w:r>
      <w:r>
        <w:rPr>
          <w:rFonts w:hint="eastAsia" w:cs="仿宋_GB2312"/>
          <w:color w:val="333333"/>
          <w:szCs w:val="28"/>
        </w:rPr>
        <w:t>主流媒体排除万难、勇担使命，始终走在“抗疫防疫”第一线提供了保障，在疫情动态播报、前线采访报道、防疫科普宣传等方面都发挥了积极作用，得到了人民群众的一致好评。受补助媒体工作人员满意度为95%，人民群众满意度为85%</w:t>
      </w:r>
      <w:r>
        <w:rPr>
          <w:rFonts w:hint="eastAsia"/>
          <w:szCs w:val="21"/>
        </w:rPr>
        <w:t>，满意度指标均达到了预期目标值。指标分值10分，按评分标准得10</w:t>
      </w:r>
      <w:r>
        <w:rPr>
          <w:rFonts w:hint="eastAsia" w:ascii="宋体" w:hAnsi="宋体"/>
          <w:color w:val="333333"/>
          <w:szCs w:val="28"/>
        </w:rPr>
        <w:t>分，</w:t>
      </w:r>
      <w:r>
        <w:rPr>
          <w:rFonts w:hint="eastAsia"/>
          <w:szCs w:val="21"/>
        </w:rPr>
        <w:t>得分率100%。</w:t>
      </w:r>
    </w:p>
    <w:p>
      <w:pPr>
        <w:pStyle w:val="4"/>
        <w:ind w:firstLine="562"/>
        <w:rPr>
          <w:szCs w:val="28"/>
        </w:rPr>
      </w:pPr>
      <w:r>
        <w:rPr>
          <w:rFonts w:hint="eastAsia"/>
          <w:szCs w:val="28"/>
        </w:rPr>
        <w:t>4</w:t>
      </w:r>
      <w:r>
        <w:rPr>
          <w:rFonts w:hint="eastAsia" w:hAnsi="宋体"/>
          <w:szCs w:val="28"/>
        </w:rPr>
        <w:t>、</w:t>
      </w:r>
      <w:r>
        <w:rPr>
          <w:rFonts w:hint="eastAsia"/>
          <w:szCs w:val="28"/>
        </w:rPr>
        <w:t>偏离绩效目标的原因及下一步改进措施</w:t>
      </w:r>
    </w:p>
    <w:p>
      <w:pPr>
        <w:ind w:firstLine="560"/>
      </w:pPr>
      <w:r>
        <w:rPr>
          <w:rFonts w:hint="eastAsia"/>
        </w:rPr>
        <w:t>无。</w:t>
      </w:r>
    </w:p>
    <w:p>
      <w:pPr>
        <w:pStyle w:val="2"/>
      </w:pPr>
      <w:bookmarkStart w:id="101" w:name="_Toc908"/>
      <w:r>
        <w:rPr>
          <w:rFonts w:hint="eastAsia"/>
        </w:rPr>
        <w:t>五、部门管理的省对市县转移支付绩效自评情况分析</w:t>
      </w:r>
      <w:bookmarkEnd w:id="58"/>
      <w:bookmarkEnd w:id="101"/>
      <w:r>
        <w:rPr>
          <w:rFonts w:hint="eastAsia"/>
        </w:rPr>
        <w:tab/>
      </w:r>
    </w:p>
    <w:p>
      <w:pPr>
        <w:ind w:firstLine="560"/>
        <w:rPr>
          <w:color w:val="000000" w:themeColor="text1"/>
          <w:szCs w:val="28"/>
          <w:highlight w:val="yellow"/>
          <w14:textFill>
            <w14:solidFill>
              <w14:schemeClr w14:val="tx1"/>
            </w14:solidFill>
          </w14:textFill>
        </w:rPr>
      </w:pPr>
      <w:r>
        <w:rPr>
          <w:rFonts w:hint="eastAsia"/>
          <w:color w:val="000000" w:themeColor="text1"/>
          <w:szCs w:val="28"/>
          <w:highlight w:val="none"/>
          <w:lang w:eastAsia="zh-CN"/>
          <w14:textFill>
            <w14:solidFill>
              <w14:schemeClr w14:val="tx1"/>
            </w14:solidFill>
          </w14:textFill>
        </w:rPr>
        <w:t>转移支付专项因涉密未开展自评工作，特此说明。</w:t>
      </w:r>
    </w:p>
    <w:p>
      <w:pPr>
        <w:pStyle w:val="2"/>
      </w:pPr>
      <w:bookmarkStart w:id="102" w:name="_Toc40046065"/>
      <w:bookmarkStart w:id="103" w:name="_Toc9323"/>
      <w:bookmarkStart w:id="104" w:name="_Toc15820"/>
      <w:r>
        <w:rPr>
          <w:rFonts w:hint="eastAsia"/>
        </w:rPr>
        <w:t>六、绩效自评结果拟应用和公开情况</w:t>
      </w:r>
      <w:bookmarkEnd w:id="102"/>
      <w:bookmarkEnd w:id="103"/>
      <w:bookmarkEnd w:id="104"/>
    </w:p>
    <w:p>
      <w:pPr>
        <w:ind w:firstLine="560"/>
        <w:rPr>
          <w:rFonts w:hAnsi="宋体"/>
          <w:szCs w:val="28"/>
        </w:rPr>
      </w:pPr>
      <w:bookmarkStart w:id="105" w:name="_Toc40046066"/>
      <w:bookmarkStart w:id="106" w:name="_Toc18185"/>
      <w:r>
        <w:rPr>
          <w:rFonts w:hint="eastAsia" w:hAnsi="宋体"/>
          <w:szCs w:val="28"/>
        </w:rPr>
        <w:t>根据《甘肃省财政厅关于开展2021年度省级预算执行情况绩效自评工作的通知》（甘财绩〔2021〕8号）文件规定，我部绩效自评结果将编入2021年度决算中，随同2021年度部门决算同步公开。</w:t>
      </w:r>
    </w:p>
    <w:p>
      <w:pPr>
        <w:pStyle w:val="2"/>
        <w:rPr>
          <w:rFonts w:hint="eastAsia" w:hAnsi="宋体"/>
          <w:szCs w:val="28"/>
        </w:rPr>
      </w:pPr>
      <w:bookmarkStart w:id="107" w:name="_Toc31502"/>
      <w:r>
        <w:rPr>
          <w:rFonts w:hint="eastAsia"/>
        </w:rPr>
        <w:t>七、其他需要说明的问题</w:t>
      </w:r>
      <w:bookmarkEnd w:id="105"/>
      <w:bookmarkEnd w:id="106"/>
      <w:bookmarkEnd w:id="107"/>
    </w:p>
    <w:p>
      <w:pPr>
        <w:pStyle w:val="11"/>
        <w:rPr>
          <w:rFonts w:hint="eastAsia" w:eastAsia="仿宋_GB2312"/>
          <w:lang w:eastAsia="zh-CN"/>
        </w:rPr>
      </w:pPr>
      <w:r>
        <w:rPr>
          <w:rFonts w:hint="eastAsia"/>
          <w:b w:val="0"/>
          <w:bCs w:val="0"/>
          <w:lang w:val="en-US" w:eastAsia="zh-CN"/>
        </w:rPr>
        <w:t>2021年度，</w:t>
      </w:r>
      <w:r>
        <w:rPr>
          <w:rFonts w:hint="eastAsia"/>
          <w:lang w:eastAsia="zh-CN"/>
        </w:rPr>
        <w:t>我部开展绩效自评的专项资金全年共执行资金</w:t>
      </w:r>
      <w:r>
        <w:rPr>
          <w:rFonts w:hint="eastAsia"/>
          <w:lang w:val="en-US" w:eastAsia="zh-CN"/>
        </w:rPr>
        <w:t>25910.16</w:t>
      </w:r>
      <w:r>
        <w:rPr>
          <w:rFonts w:hint="eastAsia"/>
          <w:lang w:eastAsia="zh-CN"/>
        </w:rPr>
        <w:t>万元，与决算数据中项目支出数字有差额，主要原因是：1.少数民族地区和边疆地区文化安全专项资金等部分涉密项目未开展自评（涉及支出金额约2600万元）；2.高层次人才资助费用、干部教育培训费用、省级干部医疗费、省老干局拨付离退休党组织工作经费、“七一”走访慰问活动经费、死亡抚恤金等省委组织部、省直机关党委、省老干局等省直机关拨付款项未开展自评（涉及金额约150万元）；3.舆情补助专项、版权奖金、“扫黄打非”奖励、国家社科专项等部分中宣部下达“带帽”资金未开展自评（涉及金额约400万元）；4.2020年海外社交平台专项、2020年重大项目前期费、2020年度脱贫攻坚补助、2020年省级电影事业发展专项等2020年度设立的一次性专项资金，其主要工作在2020年度完成，2021年度只支付了剩余款项，2020年项目自评已就全年工作开展情况开展了自评，今年不再开展自评（涉及金额约1083万元）。</w:t>
      </w:r>
    </w:p>
    <w:p>
      <w:pPr>
        <w:widowControl/>
        <w:ind w:firstLine="0" w:firstLineChars="0"/>
        <w:jc w:val="left"/>
        <w:rPr>
          <w:rFonts w:hint="eastAsia" w:hAnsi="宋体"/>
          <w:szCs w:val="28"/>
        </w:rPr>
      </w:pPr>
    </w:p>
    <w:p>
      <w:pPr>
        <w:widowControl/>
        <w:ind w:firstLine="0" w:firstLineChars="0"/>
        <w:jc w:val="left"/>
        <w:rPr>
          <w:rFonts w:hint="eastAsia" w:hAnsi="宋体"/>
          <w:szCs w:val="28"/>
        </w:rPr>
      </w:pPr>
    </w:p>
    <w:p>
      <w:pPr>
        <w:widowControl/>
        <w:ind w:firstLine="0" w:firstLineChars="0"/>
        <w:jc w:val="left"/>
        <w:rPr>
          <w:rFonts w:hint="eastAsia" w:hAnsi="宋体"/>
          <w:szCs w:val="28"/>
        </w:rPr>
      </w:pPr>
    </w:p>
    <w:p>
      <w:pPr>
        <w:widowControl/>
        <w:ind w:firstLine="0" w:firstLineChars="0"/>
        <w:jc w:val="left"/>
        <w:rPr>
          <w:rFonts w:hint="eastAsia" w:hAnsi="宋体"/>
          <w:szCs w:val="28"/>
        </w:rPr>
        <w:sectPr>
          <w:footerReference r:id="rId9" w:type="default"/>
          <w:pgSz w:w="11906" w:h="16838"/>
          <w:pgMar w:top="1440" w:right="1800" w:bottom="1440" w:left="1800" w:header="851" w:footer="992" w:gutter="0"/>
          <w:pgNumType w:start="1"/>
          <w:cols w:space="425" w:num="1"/>
          <w:docGrid w:type="lines" w:linePitch="381" w:charSpace="0"/>
        </w:sectPr>
      </w:pPr>
    </w:p>
    <w:p>
      <w:pPr>
        <w:pStyle w:val="2"/>
        <w:ind w:firstLine="643"/>
      </w:pPr>
      <w:bookmarkStart w:id="108" w:name="_Toc11891"/>
      <w:bookmarkStart w:id="109" w:name="_Toc10987"/>
      <w:bookmarkStart w:id="110" w:name="_Toc19966"/>
      <w:r>
        <w:rPr>
          <w:rFonts w:hint="eastAsia"/>
        </w:rPr>
        <w:t>附件1：</w:t>
      </w:r>
      <w:r>
        <w:t>部门整体支出绩效自评表</w:t>
      </w:r>
      <w:bookmarkEnd w:id="108"/>
      <w:bookmarkEnd w:id="109"/>
      <w:bookmarkEnd w:id="110"/>
    </w:p>
    <w:p>
      <w:pPr>
        <w:ind w:firstLine="0" w:firstLineChars="0"/>
        <w:jc w:val="center"/>
        <w:rPr>
          <w:b/>
          <w:bCs/>
          <w:sz w:val="24"/>
          <w:szCs w:val="24"/>
        </w:rPr>
      </w:pPr>
      <w:r>
        <w:rPr>
          <w:b/>
          <w:bCs/>
          <w:sz w:val="24"/>
          <w:szCs w:val="24"/>
        </w:rPr>
        <w:t>2021年</w:t>
      </w:r>
      <w:r>
        <w:rPr>
          <w:rFonts w:hint="eastAsia"/>
          <w:b/>
          <w:bCs/>
          <w:sz w:val="24"/>
          <w:szCs w:val="24"/>
          <w:u w:val="single"/>
        </w:rPr>
        <w:t xml:space="preserve">   中共甘肃省委宣传部   </w:t>
      </w:r>
      <w:r>
        <w:rPr>
          <w:b/>
          <w:bCs/>
          <w:sz w:val="24"/>
          <w:szCs w:val="24"/>
        </w:rPr>
        <w:t>部门整体支出绩效自评表</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605"/>
        <w:gridCol w:w="1320"/>
        <w:gridCol w:w="3075"/>
        <w:gridCol w:w="1320"/>
        <w:gridCol w:w="1320"/>
        <w:gridCol w:w="840"/>
        <w:gridCol w:w="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部门名称</w:t>
            </w:r>
          </w:p>
        </w:tc>
        <w:tc>
          <w:tcPr>
            <w:tcW w:w="4594"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部门整体支出</w:t>
            </w:r>
            <w:r>
              <w:rPr>
                <w:rFonts w:hint="eastAsia" w:hAnsi="宋体" w:cs="宋体"/>
                <w:b/>
                <w:bCs/>
                <w:color w:val="000000"/>
                <w:kern w:val="0"/>
                <w:sz w:val="21"/>
                <w:szCs w:val="21"/>
              </w:rPr>
              <w:br w:type="textWrapping"/>
            </w:r>
            <w:r>
              <w:rPr>
                <w:rFonts w:hint="eastAsia" w:hAnsi="宋体" w:cs="宋体"/>
                <w:b/>
                <w:bCs/>
                <w:color w:val="000000"/>
                <w:kern w:val="0"/>
                <w:sz w:val="21"/>
                <w:szCs w:val="21"/>
              </w:rPr>
              <w:t>（万元）</w:t>
            </w:r>
          </w:p>
        </w:tc>
        <w:tc>
          <w:tcPr>
            <w:tcW w:w="5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08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实际支出数（B）</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执行率（B/A）</w:t>
            </w:r>
          </w:p>
        </w:tc>
        <w:tc>
          <w:tcPr>
            <w:tcW w:w="270" w:type="pct"/>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976" w:type="pct"/>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56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全年支出</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27524.04 </w:t>
            </w:r>
          </w:p>
        </w:tc>
        <w:tc>
          <w:tcPr>
            <w:tcW w:w="1085"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35999.14</w:t>
            </w:r>
          </w:p>
        </w:tc>
        <w:tc>
          <w:tcPr>
            <w:tcW w:w="466"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33013.5</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lang w:val="en-US" w:eastAsia="zh-CN"/>
              </w:rPr>
              <w:t>91.71</w:t>
            </w:r>
            <w:r>
              <w:rPr>
                <w:rFonts w:hint="eastAsia" w:hAnsi="宋体" w:cs="宋体"/>
                <w:b/>
                <w:bCs/>
                <w:color w:val="000000"/>
                <w:kern w:val="0"/>
                <w:sz w:val="21"/>
                <w:szCs w:val="21"/>
              </w:rPr>
              <w:t>%</w:t>
            </w:r>
          </w:p>
        </w:tc>
        <w:tc>
          <w:tcPr>
            <w:tcW w:w="270"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76" w:type="pct"/>
            <w:shd w:val="clear" w:color="auto" w:fill="auto"/>
            <w:noWrap/>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rPr>
              <w:t>9.</w:t>
            </w:r>
            <w:r>
              <w:rPr>
                <w:rFonts w:hint="eastAsia" w:hAnsi="宋体" w:cs="宋体"/>
                <w:b/>
                <w:bCs/>
                <w:color w:val="000000"/>
                <w:kern w:val="0"/>
                <w:sz w:val="2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56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其中：基本支出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4255.34 </w:t>
            </w:r>
          </w:p>
        </w:tc>
        <w:tc>
          <w:tcPr>
            <w:tcW w:w="108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4373.71</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4015.26</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91.80%</w:t>
            </w:r>
          </w:p>
        </w:tc>
        <w:tc>
          <w:tcPr>
            <w:tcW w:w="270"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976"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56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项目支出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23268.70 </w:t>
            </w:r>
          </w:p>
        </w:tc>
        <w:tc>
          <w:tcPr>
            <w:tcW w:w="1085"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31625.43</w:t>
            </w:r>
          </w:p>
        </w:tc>
        <w:tc>
          <w:tcPr>
            <w:tcW w:w="466"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28998.24</w:t>
            </w:r>
          </w:p>
        </w:tc>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lang w:val="en-US" w:eastAsia="zh-CN"/>
              </w:rPr>
              <w:t>91.69</w:t>
            </w:r>
            <w:r>
              <w:rPr>
                <w:rFonts w:hint="eastAsia" w:hAnsi="宋体" w:cs="宋体"/>
                <w:b/>
                <w:bCs/>
                <w:color w:val="000000"/>
                <w:kern w:val="0"/>
                <w:sz w:val="21"/>
                <w:szCs w:val="21"/>
              </w:rPr>
              <w:t>%</w:t>
            </w:r>
          </w:p>
        </w:tc>
        <w:tc>
          <w:tcPr>
            <w:tcW w:w="270"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976"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年度总体绩效目标完成情况</w:t>
            </w:r>
          </w:p>
        </w:tc>
        <w:tc>
          <w:tcPr>
            <w:tcW w:w="2118"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475"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1：高举思想旗帜，坚持用习近平新时代中国特色社会主义思想凝心铸魂，抓好党的创新理论学习宣传，计划在全省发行重点理论读物260万册，开展主题宣讲10万场；落实理论学习中心组学习制度，计划开展集体学习15次，研讨交流5次；深化重大理论研究阐释，计划在主要报刊刊发理论文章540篇，国家社科基金项目立项130项，推动全年各项工作任务落地见效。</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1完成情况：2021年我部围绕学习贯彻习近平新时代中国特色社会主义思想，省属主要媒体及其新媒体平台推出相关报道8.1万余篇（条），全省发行重点理论读物269万册，切实用党的创新理论教育人、引领人。组织开展习近平总书记“七一”重要讲话、党的十九届六中全会精神等主题宣讲11.2万场、受众798万人，建成基层宣讲示范点284个。发挥“学习强国”甘肃学习平台、新时代文明实践中心、县级融媒体中心等阵地作用，推出“颇有道理”、《习语典读》等一批新媒体理论产品，打造机关“学习走廊”学习品牌，开展理论和形势政策宣讲志愿服务活动8万多场，推动党的创新理论走进千家万户；坚持省委理论学习中心组示范引领，围绕党史学习教育、习近平总书记“七一”重要讲话、党的十九届六中全会精神等主题，开展集体学习17次、研讨交流6次，省委理论学习中心组成员在《甘肃日报》刊发研讨文章30多篇；加强“理论陇军”建设，开展省第十六次哲学社会科学优秀成果评奖，分别在中央“四报一刊”、省属主要报刊刊发理论文章42篇、500余篇，国家社科基金项目立项131项，再创历史新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2：突出主题主线，深入开展庆祝中国共产党成立100周年宣传教育，举办庆祝建党100周年座谈会、大型音乐舞蹈史诗文艺演出、系列展览展演和宣传教育等活动；紧扣庆祝建党百年宣传组织大型主题采访及主题宣传活动；与省委组织部牵头组织开展全省党史学习教育；加强对外宣传，计划开展系列宣传活动20场，提升国际传播能力，扩大甘肃知名度和影响力。</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目标2完成情况：2021年我部举行庆祝建党100周年省委新闻发布会和系列发布会14场。集中开展党的十九届六中全会宣传报道，深入开展“牢记总书记嘱托 砥砺奋进新征程”“脱贫攻坚答卷”“走进乡村看小康”等主题宣传，全方位、全景式展现甘肃贯彻落实的实际行动和历史性成就。及时高效做好疫情防控宣传引导，有序做好全国、全省“两会”和省委全会等宣传。建立甘肃新闻线索库，中央主要媒体及其新媒体平台刊播涉甘稿件29.3万条；服务保障省委常委会举办2次省委理论学习中心组党史学习教育暨省级领导干部专题读书班，策划推出19项具有甘肃特色的重点活动，推动各地各部门开展特色重点活动130项，组织党史专题宣讲6.4万多场，打造南梁革命纪念馆等45处红色教育“大课堂”。深入开展“我为群众办实事”实践活动，推动各市州和省直单位帮办实事1449件，全省各级党组织和党员干部帮办实事28万件以上，解决了一批群众急难愁盼问题；建立全省外宣工作联席会议机制，召开全省外宣工作会推进落实，省政府新闻办举办105场新闻发布会，着力传递甘肃声音，举办系列宣传活动20多场次，打造国际传播矩阵，建成甘肃外宣英文门户网站，甘肃海外社交平台账号粉丝量超43万，覆盖45个国家和地区，国际传播能力有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3：强化政治担当，坚决铸牢维护意识形态安全坚固屏障，推动落实主体责任；深入开展整改整治，全面完成巡视专项检查反馈的问题整改；制定责任追究机制，修订考核办法，完善监督机制，建立与省委统战部的协作机制；加强涉网、涉高校、涉民族宗教等重点领域风险防控，实施“安全播出”工程，开展图书、报纸、期刊等出版物审读。</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目标3完成情况：2021年我部出台贯彻落实《党委（党组）意识形态工作责任制实施办法》《党委（党组）网络意识形态工作责任制实施细则》的《若干措施》，指导各级党委（党组）制定差异化责任清单</w:t>
            </w:r>
            <w:r>
              <w:rPr>
                <w:rFonts w:hint="eastAsia" w:hAnsi="宋体" w:cs="宋体"/>
                <w:color w:val="000000"/>
                <w:kern w:val="0"/>
                <w:sz w:val="21"/>
                <w:szCs w:val="21"/>
                <w:highlight w:val="none"/>
              </w:rPr>
              <w:t>。提请省委常委会会议专题研究意识形态工作，</w:t>
            </w:r>
            <w:r>
              <w:rPr>
                <w:rFonts w:hint="eastAsia" w:hAnsi="宋体" w:cs="宋体"/>
                <w:color w:val="000000"/>
                <w:kern w:val="0"/>
                <w:sz w:val="21"/>
                <w:szCs w:val="21"/>
              </w:rPr>
              <w:t>召开省委意识形态工作联席会议，推动各项任务落实；结合中央巡视反馈问题整改，在全省开展落实意识形态工作责任制不到位问题专项整治。开展全省《中国共产党宣传工作条例》实施情况、意识形态工作责任制落实和媒体深度融合发展情况专项督查，通过对发现的问题整改提升工作成效；出台《全省民族地区宣传教育工作“提质创优行动”实施方案》，加强铸牢中华民族共同体意识宣传教育。举办省级意识形态工作、舆情应对处置工作培训班，推动市、县两级和省直部门、高校、国有企业基本实现培训全覆盖；推进新闻传播领域“打假治敲”，加强报纸行业监管和文娱领域综合治理。建立重点领域舆情风险预警机制，修订全省舆情应急总体预案，有效处置重大敏感舆情。开展“扫黄打非”，查缴各类非法出版物14万余册，有效维护政治安全、意识形态安全和文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4：强化思想道德建设，广泛凝聚陇原儿女奋发奋进的精神力量，培育践行社会主义核心价值观，打造系列宣传产品，做好先进典型宣传，计划新增全国爱国主义教育示范基地新增6家；深化拓展新时代文明实践，提升新时代文明实践中心建设水平；持续深化群众性精神文明创建，深化文明城市创建，推动文明村镇创建，深化文明家庭创建，开展文明校园创建，推进未成年人思想道德建设。</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4完成情况：2021年我部通过打造“陇小飞说文明”“陇小飞说防疫”等系列产品，常态化开展“做文明有礼甘肃人”十大文明行动。做好先进典型选树宣传，邱军、张小娟分别被追授“时代楷模”“全国脱贫攻坚楷模”，郭万刚、樊锦诗获评全国道德模范，27人荣登“中国好人榜”，评选推出“陇人骄子”“道德模范”等重大典型133个。强化革命历史类纪念设施管理，加强爱国主义和国防教育，全国爱国主义教育示范基地新增6家，进一步丰富实践载体；争取中央补助2302万元，省级奖补500万元，推动各地建立实践中心办公室。全省86个县市区县级新时代文明实践中心全部建立，建成文明实践所1404个、文明实践站17244个，拥有志愿服务队伍4.6万支、志愿者276.7万名，开展各类文明实践活动102.5万场次。培育“农民夜校”等一批志愿服务品牌，宣传推选学雷锋志愿服务典型，全省近120万志愿者、3.4万个志愿服务组织和5.2万个新时代文明实践志愿服务队坚守疫情防控一线；深化文明城市创建，张掖等5个地级市、清水等9个县获全国文明城市提名。推动文明村镇创建，全国、省级文明村镇分别达151个、791个。建成省级文明单位数据库，开展全国文明单位宣传活动。深化文明家庭创建，全国、省级文明家庭分别达19户、89户。开展文明校园创建，全国、省级文明校园分别达39所、562所。推进未成年人思想道德建设，开展“红心向党”等主题实践活动，组织敦煌文化、南梁精神进校园，做好“新时代好少年”推选宣传活动，引导青少年“扣好人生第一粒扣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5：坚持以人民为中心，不断推出更多陇原特色的文化艺术精品力作，深入实施陇原文艺高峰攀登工程，持续打造“甘肃文学八骏”“敦煌画派”“简牍书法”“纪录片大省”等陇原文艺品牌；努力提升“甘创”影视影响力，为影视事业提质增效；全面做好出版版权工作，促进版权事业产业良好发展。</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5完成情况：2021年我省响合唱组曲《南梁颂》在国家大剧院上演，推出话剧《八步沙》、音乐剧《达玛花开》等现实题材力作。陇剧《大禹治水》精彩亮相，大型民族器乐剧《玄奘西行》落地甘肃。加快网络文学发展，作品影响力和市场潜力不断扩大。5部舞台艺术作品、1部广播剧入选庆祝建党百年国家舞台艺术精品、优秀广播剧扶持剧目，3幅美术作品被中国共产党历史展览馆收藏展出，9个项目获国家艺术基金资助。开展敦煌文艺奖评选，奖补优秀文艺作品17部；《八步沙》获中国电影金鸡奖提名奖，《血战高台》列入中国电影“十四五”规划，《浴血誓言》《高铁作证》获国家电影专项资助，《暑期时光》等3部影片入选国内外电影节，《黄庙村·地宫美人》创我省创作的电影票房新高。全年全省票房4.84亿元，观影1295万人次，电影市场保持总体稳定。组织开展甘肃广播影视奖、优秀本土纪录片评选，电视剧《苹果为什么这样红》、纪录片《祁连山》获国家广电总局扶持，“甘创”影视品牌进一步树立；加强出版管理，图书《段一士手稿》、期刊《敦煌研究》等获“中国出版政府奖”，31种图书入选国家出版基金等重大出版项目。全省软件正版率、国产率不断提升，版权登记数量全年超3万件，版权事业产业发展呈现良好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6：加快文化强省建设，努力推动全省文化事业产业发展，强化公共文化服务供给，不断丰富基层群众文化生活；加快文化事业产业发展，使文化产业在文化强省建设中的地位作用进一步凸显；深化文化体制改革，确保文化事业产业蓬勃发展。</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6完成情况：全省99%的行政村、92%的社区建成综合文化服务中心，确立中华优秀传统文化传承发展“十四五”重点项目24项，组织开展全省“三下乡”等文艺展演展播活动，全省农村电影公益放映19.6万场，推进“书香陇原”建设行动，完成全省农家书屋出版物补充更新，不断丰富基层群众文化生活；印发“十四五”规划，推动文物保护和非物质文化遗产保护传承等各项建设任务落实落地。推进国家文化公园建设，我省长城、长征国家文化公园规划获国家批复，争取项目8个，中央财政支持2.2亿元，读者出版集团获“全国文化企业30强”提名。全年支持文化项目20个、资助2864万元，国家支持甘肃电影产业发展1350万元，文化产业在文化强省建设中的地位作用进一步凸显；编制“十四五”文化体制改革发展规划，完成改革任务14项。分类推进省属国有文化企业改革，完善内部考核和薪酬管理办法，读者出版集团“三大印厂”、新华书店和省广电总台所属企业改革取得成效。抓好国有文艺院团改革，制定深化国有文艺院团改革的《若干措施》，激发文艺院团活力。深入推进新闻媒体改革，86个县级融媒体中心全部入驻省级技术平台，17个市辖区完成验收，启动4个市级建设试点，推动形成全新媒体传播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b/>
                <w:bCs/>
                <w:color w:val="000000"/>
                <w:kern w:val="0"/>
                <w:sz w:val="21"/>
                <w:szCs w:val="21"/>
              </w:rPr>
            </w:pPr>
          </w:p>
        </w:tc>
        <w:tc>
          <w:tcPr>
            <w:tcW w:w="2118"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目标7：树牢正确选人用人导向，着力打造高素质专业化干部人才队伍，扎实开展干部教育培训，计划开展25个班次的培训，不断提升全战线干部的能力水平。</w:t>
            </w:r>
          </w:p>
        </w:tc>
        <w:tc>
          <w:tcPr>
            <w:tcW w:w="247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目标7完成情况：2021年我部围绕学习贯彻习近平新时代中国特色社会主义思想、庆祝建党百年等主题组织开展干部教育培训，开设专题培训、业务培训、岗位培训、任职资格培训共25个班次。针对地方换届后党委宣传部部长调整变化较大的实际，举办学习贯彻党的十九届六中全会精神暨市县新任党委宣传部长培训班，省委宣传部领导班子成员分别专题授课。协调40名县市区党委宣传部部长参加全国新闻发布业务骨干网络培训班，组织40名年轻干部参加2个网络专题培训班，组织132名公务员、125名干部分别参加全省公务员网络培训班、国家工作人员网上学法和考试培训班，全年累计培训宣传干部5200余人次（含网络培训2500余人次），不断提升全战线干部的能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年度绩效指标完成情况</w:t>
            </w:r>
          </w:p>
        </w:tc>
        <w:tc>
          <w:tcPr>
            <w:tcW w:w="5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8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7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7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部门管理</w:t>
            </w: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资金投入</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基本支出预算执行率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91.</w:t>
            </w:r>
            <w:r>
              <w:rPr>
                <w:rFonts w:hint="eastAsia" w:hAnsi="宋体" w:cs="宋体"/>
                <w:color w:val="000000"/>
                <w:kern w:val="0"/>
                <w:sz w:val="21"/>
                <w:szCs w:val="21"/>
                <w:lang w:val="en-US" w:eastAsia="zh-CN"/>
              </w:rPr>
              <w:t>80</w:t>
            </w:r>
            <w:r>
              <w:rPr>
                <w:rFonts w:hint="eastAsia" w:hAnsi="宋体" w:cs="宋体"/>
                <w:color w:val="000000"/>
                <w:kern w:val="0"/>
                <w:sz w:val="21"/>
                <w:szCs w:val="21"/>
              </w:rPr>
              <w:t>%</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项目支出预算执行率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91.69%</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“三公经费”控制率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6.42%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0.06</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偏差原因：由于年度指标值设置不合理导致扣分。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改进措施：下一年度应设置为“≤100%”。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结转结余变动率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-0.78%</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偏差原因：由于年度指标值设置不合理导致扣分。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改进措施：下一年度应设置为“≤0%”。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财务管理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财务管理制度健全性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资金使用规范性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采购管理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政府采购规范性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资产管理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资产管理规范性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人员管理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在职人员控制率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85</w:t>
            </w:r>
            <w:r>
              <w:rPr>
                <w:rFonts w:hint="eastAsia" w:hAnsi="宋体" w:cs="宋体"/>
                <w:color w:val="000000"/>
                <w:kern w:val="0"/>
                <w:sz w:val="21"/>
                <w:szCs w:val="21"/>
              </w:rPr>
              <w:t>%</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int="eastAsia" w:hAnsi="宋体" w:eastAsia="仿宋_GB2312" w:cs="宋体"/>
                <w:color w:val="000000"/>
                <w:kern w:val="0"/>
                <w:sz w:val="21"/>
                <w:szCs w:val="21"/>
                <w:lang w:eastAsia="zh-CN"/>
              </w:rPr>
            </w:pPr>
            <w:r>
              <w:rPr>
                <w:rFonts w:hint="eastAsia" w:hAnsi="宋体" w:cs="宋体"/>
                <w:color w:val="000000"/>
                <w:kern w:val="0"/>
                <w:sz w:val="21"/>
                <w:szCs w:val="21"/>
              </w:rPr>
              <w:t>0.8</w:t>
            </w:r>
            <w:r>
              <w:rPr>
                <w:rFonts w:hint="eastAsia" w:hAnsi="宋体" w:cs="宋体"/>
                <w:color w:val="000000"/>
                <w:kern w:val="0"/>
                <w:sz w:val="21"/>
                <w:szCs w:val="21"/>
                <w:lang w:val="en-US" w:eastAsia="zh-CN"/>
              </w:rPr>
              <w:t>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偏差原因：由于年度指标值设置不合理导致扣分。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改进措施：下一年度应设置为“≤100%”。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重点工作管理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重点工作管理制度健全性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kern w:val="0"/>
                <w:sz w:val="21"/>
                <w:szCs w:val="21"/>
              </w:rPr>
            </w:pPr>
            <w:r>
              <w:rPr>
                <w:rFonts w:hint="eastAsia" w:hAnsi="宋体" w:cs="宋体"/>
                <w:kern w:val="0"/>
                <w:sz w:val="21"/>
                <w:szCs w:val="21"/>
              </w:rPr>
              <w:t>履职效果</w:t>
            </w: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部门履职目标</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项目验收合格率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资金到位率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新闻宣传受众普及率（%）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社科研究社会影响度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推动文化产业发展</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持续推动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繁荣甘肃省文化事业</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繁荣</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减少有害出版物传播</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减少</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提升群众文化素养水平</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资金覆盖率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重点工作会议开展场次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17</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重点工作培训场次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r>
              <w:rPr>
                <w:rFonts w:hint="eastAsia" w:hAnsi="宋体" w:cs="宋体"/>
                <w:color w:val="000000"/>
                <w:kern w:val="0"/>
                <w:sz w:val="21"/>
                <w:szCs w:val="21"/>
                <w:lang w:val="en-US" w:eastAsia="zh-CN"/>
              </w:rPr>
              <w:t>0</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重点工作活动开展场次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55</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专题调研次数</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27</w:t>
            </w:r>
            <w:r>
              <w:rPr>
                <w:rFonts w:hint="eastAsia" w:hAnsi="宋体" w:cs="宋体"/>
                <w:color w:val="000000"/>
                <w:kern w:val="0"/>
                <w:sz w:val="21"/>
                <w:szCs w:val="21"/>
              </w:rPr>
              <w:t>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公益广告宣传制作数量</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甘肃精神文明建设杂志印制</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≥13000册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13200册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《文明家庭风采》印制</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根据工作所需印制500册。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先进集体测评复查批次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省级自建少年宫数量</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≥10所</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10所</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省级已建成少年宫运转补助数量</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≥45所</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45所</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组织实施重大主题宣讲活动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≥32场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41场</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组织实施基层理论宣讲活动</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≥300场</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383场</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编印学习辅导材料</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0.5万册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根据工作所需编印学习辅助材料0.5万册。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推动党员干部在职理论学习教育人次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≥350万人（次）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440万人</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《党的建设》产出量指标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≥393.60万册</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393万册</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党建杂志验收合格率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部门效果目标</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职工工作积极性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积极</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人员稳定</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稳定</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宣传地区覆盖率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宣传人群覆盖率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重点工作政策符合率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会议精神传达率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调研成果转化率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社会影响</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单位获奖情况</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kern w:val="0"/>
                <w:sz w:val="21"/>
                <w:szCs w:val="21"/>
              </w:rPr>
            </w:pPr>
          </w:p>
        </w:tc>
        <w:tc>
          <w:tcPr>
            <w:tcW w:w="4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单位违纪情况</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能力建设</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长效管理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中期规划建设完备程度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人力资源建设</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人员培训机制完备性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档案管理</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档案管理完备性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服务对象1的满意度</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党员满意度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97%</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56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服务对象2的满意度</w:t>
            </w:r>
          </w:p>
        </w:tc>
        <w:tc>
          <w:tcPr>
            <w:tcW w:w="10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合计</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70"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95.58</w:t>
            </w:r>
          </w:p>
        </w:tc>
        <w:tc>
          <w:tcPr>
            <w:tcW w:w="976"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bl>
    <w:p>
      <w:pPr>
        <w:pStyle w:val="11"/>
        <w:ind w:firstLine="198" w:firstLineChars="71"/>
        <w:rPr>
          <w:rFonts w:ascii="黑体" w:hAnsi="黑体" w:eastAsia="黑体"/>
          <w:kern w:val="44"/>
          <w:sz w:val="32"/>
          <w:szCs w:val="44"/>
        </w:rPr>
      </w:pPr>
      <w:r>
        <w:br w:type="page"/>
      </w:r>
    </w:p>
    <w:p>
      <w:pPr>
        <w:pStyle w:val="2"/>
        <w:ind w:firstLine="883"/>
      </w:pPr>
      <w:bookmarkStart w:id="111" w:name="_Toc1335"/>
      <w:r>
        <w:rPr>
          <w:rFonts w:hint="eastAsia"/>
        </w:rPr>
        <w:t>附件2：部门预算项目支出绩效自评结果汇总表</w:t>
      </w:r>
      <w:bookmarkEnd w:id="111"/>
    </w:p>
    <w:tbl>
      <w:tblPr>
        <w:tblStyle w:val="20"/>
        <w:tblW w:w="4996" w:type="pct"/>
        <w:jc w:val="center"/>
        <w:tblLayout w:type="fixed"/>
        <w:tblCellMar>
          <w:top w:w="0" w:type="dxa"/>
          <w:left w:w="108" w:type="dxa"/>
          <w:bottom w:w="0" w:type="dxa"/>
          <w:right w:w="108" w:type="dxa"/>
        </w:tblCellMar>
      </w:tblPr>
      <w:tblGrid>
        <w:gridCol w:w="599"/>
        <w:gridCol w:w="2791"/>
        <w:gridCol w:w="2175"/>
        <w:gridCol w:w="1244"/>
        <w:gridCol w:w="1167"/>
        <w:gridCol w:w="1034"/>
        <w:gridCol w:w="1156"/>
        <w:gridCol w:w="1108"/>
        <w:gridCol w:w="966"/>
        <w:gridCol w:w="1110"/>
        <w:gridCol w:w="813"/>
      </w:tblGrid>
      <w:tr>
        <w:tblPrEx>
          <w:tblCellMar>
            <w:top w:w="0" w:type="dxa"/>
            <w:left w:w="108" w:type="dxa"/>
            <w:bottom w:w="0" w:type="dxa"/>
            <w:right w:w="108" w:type="dxa"/>
          </w:tblCellMar>
        </w:tblPrEx>
        <w:trPr>
          <w:trHeight w:val="454" w:hRule="atLeast"/>
          <w:jc w:val="center"/>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序号</w:t>
            </w:r>
          </w:p>
        </w:tc>
        <w:tc>
          <w:tcPr>
            <w:tcW w:w="9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5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自评得分</w:t>
            </w:r>
          </w:p>
        </w:tc>
        <w:tc>
          <w:tcPr>
            <w:tcW w:w="287" w:type="pct"/>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备注</w:t>
            </w:r>
          </w:p>
        </w:tc>
      </w:tr>
      <w:tr>
        <w:tblPrEx>
          <w:tblCellMar>
            <w:top w:w="0" w:type="dxa"/>
            <w:left w:w="108" w:type="dxa"/>
            <w:bottom w:w="0" w:type="dxa"/>
            <w:right w:w="108" w:type="dxa"/>
          </w:tblCellMar>
        </w:tblPrEx>
        <w:trPr>
          <w:trHeight w:val="454"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162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全年预算数（A）</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全年执行数（B）</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r>
              <w:rPr>
                <w:rFonts w:hint="eastAsia" w:hAnsi="宋体" w:cs="宋体"/>
                <w:b/>
                <w:bCs/>
                <w:color w:val="000000"/>
                <w:kern w:val="0"/>
                <w:sz w:val="21"/>
                <w:szCs w:val="21"/>
              </w:rPr>
              <w:br w:type="textWrapping"/>
            </w:r>
            <w:r>
              <w:rPr>
                <w:rFonts w:hint="eastAsia" w:hAnsi="宋体" w:cs="宋体"/>
                <w:b/>
                <w:bCs/>
                <w:color w:val="000000"/>
                <w:kern w:val="0"/>
                <w:sz w:val="21"/>
                <w:szCs w:val="21"/>
              </w:rPr>
              <w:t>（B/A）</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287" w:type="pct"/>
            <w:vMerge w:val="continue"/>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9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小计</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当年财政拨款</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上年结转资金</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其他资金</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287" w:type="pct"/>
            <w:vMerge w:val="continue"/>
            <w:tcBorders>
              <w:top w:val="single" w:color="000000" w:sz="4" w:space="0"/>
              <w:left w:val="single" w:color="000000" w:sz="4" w:space="0"/>
              <w:bottom w:val="nil"/>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业务费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宣传文化专项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延安精神研究工作经费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92.49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媒体新闻宣传经费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463.64</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430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33.64</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433.29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93.45%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98.68</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哲学社会科学规划研究培训和基地建设经费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545.23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90.87%</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97.66</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省“扫黄打非”专项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252.9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102.9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154.82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61.22%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94.2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《陇右文库》编纂经费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少数民族教材出版专项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96.2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购买公益性演出</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94.2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影视精品及精品剧目</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572.59</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72.59</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572.59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98.65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中国嘉峪关国际短片电影展补助</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农村电影公益性放映补贴经费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3784.16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3621</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163.16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3376.88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89.24%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98.92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电影事业发展专项资金</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1365.42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15.42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802.85</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86.57</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业务费（含学习强国甘肃学习平台建设使用推广培训等）</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97.05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《党的建设》杂志社办刊补助</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2049.26</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1719.7</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329.56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1498.17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73.11%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94.40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精神文明建设重点工作经费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580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580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580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长征长城黄河公园建设及省级文化产业发展改革专项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96.23</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18</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优秀图书、音像制品及电子出版物奖评选专项经费（一次性）</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60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88.42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敦煌文艺奖评选经费（一次性）</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14.91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7.46%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86.2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公共文化服务建设体系建设专项（农家书屋）</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1992.32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99.62%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98.84</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21</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“一带一路”美丽乡村论坛办会经费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128</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128</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128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2021年“一会一节”省级办会专项经费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399.43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99.86%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23</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党史学习教育专项补助经费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500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439.67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87.93%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98.79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建党100周年宣传活动经费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1372</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1372</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1372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25</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甘肃演艺集团转企事业费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2000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疫情防控宣传报道补助经费</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中共甘肃省委宣传部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300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270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r>
              <w:rPr>
                <w:rFonts w:hint="eastAsia" w:hAnsi="宋体" w:cs="宋体"/>
                <w:color w:val="000000"/>
                <w:kern w:val="0"/>
                <w:sz w:val="21"/>
                <w:szCs w:val="21"/>
              </w:rPr>
              <w:t>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9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合计</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hAnsi="宋体" w:cs="宋体"/>
                <w:b/>
                <w:bCs/>
                <w:color w:val="000000"/>
                <w:kern w:val="0"/>
                <w:sz w:val="21"/>
                <w:szCs w:val="21"/>
                <w:lang w:val="en-US" w:eastAsia="zh-CN"/>
              </w:rPr>
            </w:pPr>
            <w:r>
              <w:rPr>
                <w:rFonts w:hint="eastAsia" w:hAnsi="宋体" w:cs="宋体"/>
                <w:b/>
                <w:bCs/>
                <w:color w:val="000000"/>
                <w:kern w:val="0"/>
                <w:sz w:val="21"/>
                <w:szCs w:val="21"/>
              </w:rPr>
              <w:t>27957.97</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27240.7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717.27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25910.16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b/>
                <w:bCs/>
                <w:color w:val="000000"/>
                <w:kern w:val="0"/>
                <w:sz w:val="21"/>
                <w:szCs w:val="21"/>
                <w:lang w:val="en-US" w:eastAsia="zh-CN"/>
              </w:rPr>
            </w:pPr>
            <w:r>
              <w:rPr>
                <w:rFonts w:hint="eastAsia" w:hAnsi="宋体" w:cs="宋体"/>
                <w:b/>
                <w:bCs/>
                <w:color w:val="000000"/>
                <w:kern w:val="0"/>
                <w:sz w:val="21"/>
                <w:szCs w:val="21"/>
              </w:rPr>
              <w:t>92.68%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lang w:val="en-US" w:eastAsia="zh-CN"/>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line="240" w:lineRule="auto"/>
              <w:ind w:firstLine="440" w:firstLineChars="200"/>
              <w:jc w:val="center"/>
              <w:rPr>
                <w:rFonts w:hint="eastAsia" w:ascii="宋体" w:hAnsi="宋体" w:eastAsia="仿宋_GB2312" w:cstheme="minorBidi"/>
                <w:color w:val="000000"/>
                <w:kern w:val="2"/>
                <w:sz w:val="22"/>
                <w:szCs w:val="24"/>
                <w:lang w:val="en-US" w:eastAsia="zh-CN" w:bidi="ar-SA"/>
              </w:rPr>
            </w:pPr>
          </w:p>
        </w:tc>
      </w:tr>
    </w:tbl>
    <w:p>
      <w:pPr>
        <w:pStyle w:val="11"/>
        <w:ind w:left="0" w:leftChars="0" w:firstLine="0" w:firstLineChars="0"/>
      </w:pPr>
    </w:p>
    <w:p>
      <w:pPr>
        <w:pStyle w:val="11"/>
        <w:ind w:firstLine="560"/>
        <w:rPr>
          <w:rFonts w:ascii="黑体" w:hAnsi="黑体" w:eastAsia="黑体"/>
          <w:kern w:val="44"/>
          <w:sz w:val="32"/>
          <w:szCs w:val="44"/>
        </w:rPr>
      </w:pPr>
      <w:r>
        <w:br w:type="page"/>
      </w:r>
    </w:p>
    <w:p>
      <w:pPr>
        <w:pStyle w:val="2"/>
      </w:pPr>
      <w:bookmarkStart w:id="112" w:name="_Toc22212"/>
      <w:r>
        <w:rPr>
          <w:rFonts w:hint="eastAsia"/>
        </w:rPr>
        <w:t>附件3：业务</w:t>
      </w:r>
      <w:r>
        <w:rPr>
          <w:rFonts w:hint="eastAsia"/>
          <w:lang w:eastAsia="zh-CN"/>
        </w:rPr>
        <w:t>费</w:t>
      </w:r>
      <w:r>
        <w:rPr>
          <w:rFonts w:hint="eastAsia"/>
        </w:rPr>
        <w:t>项目绩效自评表</w:t>
      </w:r>
      <w:bookmarkEnd w:id="11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25"/>
        <w:gridCol w:w="2205"/>
        <w:gridCol w:w="3105"/>
        <w:gridCol w:w="1635"/>
        <w:gridCol w:w="1320"/>
        <w:gridCol w:w="720"/>
        <w:gridCol w:w="735"/>
        <w:gridCol w:w="1349"/>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12418" w:type="dxa"/>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业务费（部门本级）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6945"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2040"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3433"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6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2040"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7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134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134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6" w:type="dxa"/>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310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4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4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8070" w:type="dxa"/>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5473" w:type="dxa"/>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070" w:type="dxa"/>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通过业务费支出，确保省委宣传部日常事务和管理工作顺利开展，充分履行部门各项职能，为各业务单位日常工作的顺利进行提供有力的基础条件保障。</w:t>
            </w:r>
          </w:p>
        </w:tc>
        <w:tc>
          <w:tcPr>
            <w:tcW w:w="5473" w:type="dxa"/>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业务费项目的实施确保了我部日常事务和管理工作的顺利开展，调研督导、组织宣传活动等强化了宣传职能，提高了管理水平。全年购买设施设备及办公用品100件左右，刊物征订种类30余种，组织调研督导工作100余次，组织宣传工作20余次，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112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220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310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16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13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7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7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2698"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材料印刷份数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材料邮寄数量</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1万份</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调研督导人数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≥400人次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400人次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供暖面积</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≥2000平方米</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2000平方米</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公务用车维护车辆数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≥5辆</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5辆</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购买第三方服务次数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购买设施设备及办公用品数量</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100件</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刊物征订种类</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≥30种</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30种</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评审专家人数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用电度数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≥15万度</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15万度</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用水吨数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≥1000吨</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1000吨</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组织调研督导活动次数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组织宣传活动次数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组织专家评审次数</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材料邮寄准确率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第三方服务有效率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调研督导有效率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供暖室温</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≥22摄氏度</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22摄氏度</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供水电全年覆盖率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公务用车运行维护稳定率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刊物征订种类覆盖率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设施设备购买质量合格率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组织宣传覆盖率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组织专家评审准确率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材料邮寄及时性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第三方服务及时性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调研督导活动开展及时性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供水电暖及时性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刊物征订及时性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设施设备购置及时率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宣传活动完成及时性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组织专家评审及时性</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成本节约率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98"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220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群众政策知晓率</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长效管理机制</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220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机关工作人员满意度</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1"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20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05"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16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7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3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8"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1" w:type="dxa"/>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7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73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99.5</w:t>
            </w:r>
          </w:p>
        </w:tc>
        <w:tc>
          <w:tcPr>
            <w:tcW w:w="2698" w:type="dxa"/>
            <w:gridSpan w:val="2"/>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13" w:name="_Toc9858"/>
      <w:r>
        <w:rPr>
          <w:rFonts w:hint="eastAsia"/>
        </w:rPr>
        <w:t>附件4：宣传文化专项绩效自评表</w:t>
      </w:r>
      <w:bookmarkEnd w:id="113"/>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18"/>
        <w:gridCol w:w="2124"/>
        <w:gridCol w:w="3088"/>
        <w:gridCol w:w="1346"/>
        <w:gridCol w:w="1281"/>
        <w:gridCol w:w="892"/>
        <w:gridCol w:w="1074"/>
        <w:gridCol w:w="1354"/>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94"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宣传文化发展专项（含文化精品创作生产、“十个一”文化品牌工程）（部门本级）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6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312"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6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7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5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78"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100%</w:t>
            </w: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9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09"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79"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09"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繁荣和发展我省文学艺术事业，激励和引导文艺创作，实现社会效益和经济效益相统一，推动社会主义精神文明建设。激发全省文艺创作者的创作、生产热情，提升全省文化知名度和影响力。</w:t>
            </w:r>
          </w:p>
        </w:tc>
        <w:tc>
          <w:tcPr>
            <w:tcW w:w="2079"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繁荣和发展我省文学艺术事业的目标，全省积极推进各项文化宣传工作。2021年，组织开展宣传活动10次，出版物审读1次，参与调研督导人数200人，审读人员30人。实现了激励和引导文艺创作，提升全省文化知名度和影响力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9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5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3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5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参与调研督导人数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200人</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参与审读人员数量</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30人</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3.59</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3.59</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扶贫乡镇数量</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全省出版物审读次数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组织调研督导工作次数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20次</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组织宣传次数</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调研督导有效率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扶贫资金足额拨付率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全省出版物审读准确率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政策方针宣传覆盖率</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参与扶贫及时性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组织出版物审读及时性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组织宣传及时性</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3.57</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促进甘肃省文化事业繁荣发展</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促进</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提高干部群众生态环保意识</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可持续发展能力</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9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受益社会大众满意度</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93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pStyle w:val="11"/>
        <w:ind w:firstLine="560"/>
        <w:sectPr>
          <w:pgSz w:w="16838" w:h="11906" w:orient="landscape"/>
          <w:pgMar w:top="1800" w:right="1440" w:bottom="1800" w:left="1440" w:header="851" w:footer="992" w:gutter="0"/>
          <w:cols w:space="425" w:num="1"/>
          <w:docGrid w:type="lines" w:linePitch="381" w:charSpace="0"/>
        </w:sectPr>
      </w:pPr>
    </w:p>
    <w:p>
      <w:pPr>
        <w:pStyle w:val="2"/>
      </w:pPr>
      <w:bookmarkStart w:id="114" w:name="_Toc22600"/>
      <w:r>
        <w:rPr>
          <w:rFonts w:hint="eastAsia"/>
        </w:rPr>
        <w:t>附件5：延安精神研究工作经费绩效自评表</w:t>
      </w:r>
      <w:bookmarkEnd w:id="114"/>
    </w:p>
    <w:tbl>
      <w:tblPr>
        <w:tblStyle w:val="20"/>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55"/>
        <w:gridCol w:w="2100"/>
        <w:gridCol w:w="2805"/>
        <w:gridCol w:w="1290"/>
        <w:gridCol w:w="1320"/>
        <w:gridCol w:w="765"/>
        <w:gridCol w:w="840"/>
        <w:gridCol w:w="193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66"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延安精神研究工作经费（部门本级）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5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9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67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7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7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52"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215"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2"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省委宣传部直接领导下，贯彻落实党中央和省委决策部署，围绕中心、服务大局，积极策划、组织红色文化相关活动；进一步发挥光芒网、《光芒》杂志、延安精神宣讲团平台和品牌作用，大力宣传、研究、弘扬和践行延安精神，继承发扬好党的优良传统和作风，着力打造延安精神七进宣讲活动品牌，切实讲好“四个故事”；加强学习借鉴，在中延会指导和友省延研会、红色场馆和文化机构先进经验带动下，进一步加强对甘肃省红色文化资源宣传、保护和利用，不断增强甘肃省红色文化的知名度、影响力，为富民兴陇大业提供坚强的精神力量。</w:t>
            </w:r>
          </w:p>
        </w:tc>
        <w:tc>
          <w:tcPr>
            <w:tcW w:w="221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省委安排下，深入开展了延安精神“七进”活动，加强了新形势下广大党员干部开展党的群众路线和党的优良传统教育。全年《光芒》网站发布信息128条，开展延安精神“七进”宣讲场次30余次，出版发行《光芒杂志》4期，总体达到目标任务，更广泛宣传了延安精神，丰富了延安精神内涵，弘扬了党的优良传统和作风，培育和践行了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restart"/>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b/>
                <w:bCs/>
                <w:color w:val="000000"/>
                <w:kern w:val="0"/>
                <w:sz w:val="21"/>
                <w:szCs w:val="21"/>
              </w:rPr>
              <w:t>绩效指标</w:t>
            </w:r>
          </w:p>
        </w:tc>
        <w:tc>
          <w:tcPr>
            <w:tcW w:w="40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2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19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《光芒》公众号更新文章</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≥388篇</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1000篇</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1.31</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《光芒》网站发布信息</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≥7000条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0.02</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偏差原因：由于统计口径有差异导致偏差。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改进措施：下一年度将统一统计口径，确保数据的准确性。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《光芒》网站发布信息数量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≥7000条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偏差原因：由于对预算绩效管理工作学习不够深入，对绩效目标设定把握不够准确，导致同一工作参数设置了多个绩效指标，数据出现交叉重复。</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改进措施：下一年度我部将加强预算绩效管理，提升业务水平，科学合理的设置绩效指标。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《光芒》微信公众号点击量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≥100万次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3.6万次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0.07</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偏差原因：由于统计口径有差异导致偏差。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改进措施：下一年度将统一统计口径，确保数据的准确性。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《光芒》杂志出版数量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≥6000册</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6000册</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《光芒》杂志发刊</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=4期</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4期</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出版红色文化论文集</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涉重大党史题材，正审批中。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红色文化课题完成量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3个</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1.89</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红色文化主题宣讲报告会</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≥40场</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40场</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网站点击量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≥700万次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700万次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学习调研</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7次</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1.44</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延安精神“七进”宣讲场次</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≥8场</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30场</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0.68</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可读人群覆盖率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网络安全规范率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网站发布信息内容匹配率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网站维护规范性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杂志发行到位率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99.60%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个别地址变更邮寄后退回。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网站发布信息及时性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网站维护及时性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宣讲会举办及时性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杂志发刊及时性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2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红色文化普及性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较高</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红色资源利用率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4.08</w:t>
            </w:r>
          </w:p>
        </w:tc>
        <w:tc>
          <w:tcPr>
            <w:tcW w:w="1199"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 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南梁精神影响力提升性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延安精神、南梁精神发扬率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延安精神在群众中的发挥率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红色文化持续影响力</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增长</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2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97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服务对象满意度</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9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2"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92.49</w:t>
            </w:r>
          </w:p>
        </w:tc>
        <w:tc>
          <w:tcPr>
            <w:tcW w:w="119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15" w:name="_Toc21866"/>
      <w:r>
        <w:rPr>
          <w:rFonts w:hint="eastAsia"/>
        </w:rPr>
        <w:t>附件6：媒体新闻宣传经费绩效自评表</w:t>
      </w:r>
      <w:bookmarkEnd w:id="115"/>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83"/>
        <w:gridCol w:w="2190"/>
        <w:gridCol w:w="2564"/>
        <w:gridCol w:w="1278"/>
        <w:gridCol w:w="1470"/>
        <w:gridCol w:w="926"/>
        <w:gridCol w:w="991"/>
        <w:gridCol w:w="1057"/>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37"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媒体新闻宣传经费（含甘肃省海外社交平台账号宣传专项经费）（部门本级）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29"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89"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67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3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w:t>
            </w:r>
          </w:p>
        </w:tc>
        <w:tc>
          <w:tcPr>
            <w:tcW w:w="45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463.64</w:t>
            </w:r>
          </w:p>
        </w:tc>
        <w:tc>
          <w:tcPr>
            <w:tcW w:w="518"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433.29</w:t>
            </w: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r>
              <w:rPr>
                <w:rFonts w:hint="eastAsia" w:hAnsi="宋体" w:cs="宋体"/>
                <w:color w:val="000000"/>
                <w:kern w:val="0"/>
                <w:sz w:val="21"/>
                <w:szCs w:val="21"/>
                <w:lang w:val="en-US" w:eastAsia="zh-CN"/>
              </w:rPr>
              <w:t>3.45</w:t>
            </w:r>
            <w:r>
              <w:rPr>
                <w:rFonts w:hint="eastAsia" w:hAnsi="宋体" w:cs="宋体"/>
                <w:color w:val="000000"/>
                <w:kern w:val="0"/>
                <w:sz w:val="21"/>
                <w:szCs w:val="21"/>
              </w:rPr>
              <w:t>%</w:t>
            </w:r>
          </w:p>
        </w:tc>
        <w:tc>
          <w:tcPr>
            <w:tcW w:w="539"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rPr>
              <w:t>9.</w:t>
            </w:r>
            <w:r>
              <w:rPr>
                <w:rFonts w:hint="eastAsia" w:hAnsi="宋体" w:cs="宋体"/>
                <w:color w:val="000000"/>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399.65</w:t>
            </w: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33.64</w:t>
            </w:r>
          </w:p>
        </w:tc>
        <w:tc>
          <w:tcPr>
            <w:tcW w:w="518"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33.64</w:t>
            </w: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2"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0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7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11"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108"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11"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加强对我省经济社会发展的宣传，为我省经济社会发展营造良好社会舆论氛围，扩大我省对外影响力和美誉度。</w:t>
            </w:r>
          </w:p>
        </w:tc>
        <w:tc>
          <w:tcPr>
            <w:tcW w:w="2108"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对中央驻甘媒体深入我省基层和偏远地区开展新闻采访、宣传活动给予补助，确保我省重大活动和新闻的媒体报道及时有效开展，持续扩大我省新闻宣传影响力。全年补助新闻媒体10家，媒体宣传12次，开展新闻发布会1次，重大主题宣传集中采访活动5次，总体实现了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1" w:type="pct"/>
            <w:shd w:val="clear" w:color="auto" w:fill="auto"/>
            <w:vAlign w:val="center"/>
          </w:tcPr>
          <w:p>
            <w:pPr>
              <w:widowControl/>
              <w:spacing w:line="240" w:lineRule="auto"/>
              <w:ind w:firstLine="0" w:firstLineChars="0"/>
              <w:jc w:val="left"/>
              <w:rPr>
                <w:rFonts w:hAnsi="宋体" w:cs="宋体"/>
                <w:b/>
                <w:bCs/>
                <w:color w:val="000000"/>
                <w:kern w:val="0"/>
                <w:sz w:val="21"/>
                <w:szCs w:val="21"/>
              </w:rPr>
            </w:pPr>
            <w:r>
              <w:rPr>
                <w:rFonts w:hint="eastAsia" w:hAnsi="宋体" w:cs="宋体"/>
                <w:b/>
                <w:bCs/>
                <w:color w:val="000000"/>
                <w:kern w:val="0"/>
                <w:sz w:val="21"/>
                <w:szCs w:val="21"/>
              </w:rPr>
              <w:t>一级指标</w:t>
            </w:r>
          </w:p>
        </w:tc>
        <w:tc>
          <w:tcPr>
            <w:tcW w:w="7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2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4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1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补助媒体数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10家</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出差次数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20</w:t>
            </w:r>
            <w:r>
              <w:rPr>
                <w:rFonts w:hint="eastAsia" w:hAnsi="宋体" w:cs="宋体"/>
                <w:color w:val="000000"/>
                <w:kern w:val="0"/>
                <w:sz w:val="21"/>
                <w:szCs w:val="21"/>
              </w:rPr>
              <w:t>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1.35</w:t>
            </w:r>
          </w:p>
        </w:tc>
        <w:tc>
          <w:tcPr>
            <w:tcW w:w="912"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因业务需求出差次数为5次，属于合理需求。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出差人数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≥6人</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6人</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发稿数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60篇</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购买租用设备种类</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≥3种</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3种</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媒体宣传数</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通气会举办场次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1.98</w:t>
            </w:r>
          </w:p>
        </w:tc>
        <w:tc>
          <w:tcPr>
            <w:tcW w:w="912"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新闻发布会场次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≥5次</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5次</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补助应补助媒体覆盖率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出差人员保障率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媒体宣传内容合格率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设备购买租用合格率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通气会举办覆盖率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新闻发布会举办规范率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重大主题宣传合格率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重大主题宣传集中采访活动覆盖率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出差报销及时性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购买租用设备及时性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媒体补助拨付及时性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通气会及新闻发布会举办及时性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宣传活动采访完成及时性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7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甘肃省美誉度影响提升性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甘肃省社会发展宣传提升性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社会舆论规范性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甘肃省对外影响力和美誉度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持续增强</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0"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90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受益对象满意度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2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1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10"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2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49" w:type="pct"/>
            <w:shd w:val="clear" w:color="auto" w:fill="auto"/>
            <w:vAlign w:val="center"/>
          </w:tcPr>
          <w:p>
            <w:pPr>
              <w:widowControl/>
              <w:spacing w:line="240" w:lineRule="auto"/>
              <w:ind w:firstLine="0" w:firstLineChars="0"/>
              <w:jc w:val="center"/>
              <w:rPr>
                <w:rFonts w:hint="eastAsia" w:hAnsi="宋体" w:eastAsia="仿宋_GB2312" w:cs="宋体"/>
                <w:b/>
                <w:bCs/>
                <w:color w:val="000000"/>
                <w:kern w:val="0"/>
                <w:sz w:val="21"/>
                <w:szCs w:val="21"/>
                <w:lang w:val="en-US" w:eastAsia="zh-CN"/>
              </w:rPr>
            </w:pPr>
            <w:r>
              <w:rPr>
                <w:rFonts w:hint="eastAsia" w:hAnsi="宋体" w:cs="宋体"/>
                <w:b/>
                <w:bCs/>
                <w:color w:val="000000"/>
                <w:kern w:val="0"/>
                <w:sz w:val="21"/>
                <w:szCs w:val="21"/>
              </w:rPr>
              <w:t>98.6</w:t>
            </w:r>
            <w:r>
              <w:rPr>
                <w:rFonts w:hint="eastAsia" w:hAnsi="宋体" w:cs="宋体"/>
                <w:b/>
                <w:bCs/>
                <w:color w:val="000000"/>
                <w:kern w:val="0"/>
                <w:sz w:val="21"/>
                <w:szCs w:val="21"/>
                <w:lang w:val="en-US" w:eastAsia="zh-CN"/>
              </w:rPr>
              <w:t>8</w:t>
            </w:r>
          </w:p>
        </w:tc>
        <w:tc>
          <w:tcPr>
            <w:tcW w:w="91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16" w:name="_Toc1622"/>
      <w:r>
        <w:rPr>
          <w:rFonts w:hint="eastAsia"/>
        </w:rPr>
        <w:t>附件7：哲学社会科学规划研究培训和基地建设经费绩效自评表</w:t>
      </w:r>
      <w:bookmarkEnd w:id="116"/>
    </w:p>
    <w:tbl>
      <w:tblPr>
        <w:tblStyle w:val="20"/>
        <w:tblW w:w="1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17"/>
        <w:gridCol w:w="1245"/>
        <w:gridCol w:w="1305"/>
        <w:gridCol w:w="2760"/>
        <w:gridCol w:w="960"/>
        <w:gridCol w:w="495"/>
        <w:gridCol w:w="1815"/>
        <w:gridCol w:w="765"/>
        <w:gridCol w:w="882"/>
        <w:gridCol w:w="104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13002" w:type="dxa"/>
            <w:gridSpan w:val="10"/>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哲学社会科学规划研究培训和基地建设经费（部门本级）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6270" w:type="dxa"/>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3075"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3657"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255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6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96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3075"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88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1041"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1734"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545.23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90.87%</w:t>
            </w: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其中：当年财政拨款</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w:t>
            </w: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545.23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3"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50" w:type="dxa"/>
            <w:gridSpan w:val="2"/>
            <w:shd w:val="clear" w:color="auto" w:fill="auto"/>
            <w:vAlign w:val="center"/>
          </w:tcPr>
          <w:p>
            <w:pPr>
              <w:widowControl/>
              <w:spacing w:line="240" w:lineRule="auto"/>
              <w:ind w:firstLine="630" w:firstLineChars="300"/>
              <w:rPr>
                <w:rFonts w:hAnsi="宋体" w:cs="宋体"/>
                <w:color w:val="000000"/>
                <w:kern w:val="0"/>
                <w:sz w:val="21"/>
                <w:szCs w:val="21"/>
              </w:rPr>
            </w:pPr>
            <w:r>
              <w:rPr>
                <w:rFonts w:hint="eastAsia" w:hAnsi="宋体" w:cs="宋体"/>
                <w:color w:val="000000"/>
                <w:kern w:val="0"/>
                <w:sz w:val="21"/>
                <w:szCs w:val="21"/>
              </w:rPr>
              <w:t>其他资金</w:t>
            </w:r>
          </w:p>
        </w:tc>
        <w:tc>
          <w:tcPr>
            <w:tcW w:w="27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6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75" w:type="dxa"/>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041"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734"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7387" w:type="dxa"/>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6732" w:type="dxa"/>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87" w:type="dxa"/>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加强哲学社会科学研究，不断增强研究水平，逐步扩大我省社科研究的社会影响力，为省委省政府和有关部门决策提供参考和服务，为我省经济社会发展提供强有力的智力支撑；提高全省哲学社会科学教学科研骨干的政治理论水平和业务素质；加强我省现代智库建设，促进学科体系、学术观点、科研方法创新，推动全省社会科学研究与发展。</w:t>
            </w:r>
          </w:p>
        </w:tc>
        <w:tc>
          <w:tcPr>
            <w:tcW w:w="6732" w:type="dxa"/>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持续加强我省哲学社会科学研究，及时向全省各级社科研究单位、省内各高等院校出题目、压担子，引导全省哲学社科研究专家围绕省委省政府工作大局开展研究，着力为省委省政府领导决策参考提供有价值的决策咨询报告，其中5篇决策咨询报告获得省委省政府主要领导肯定性批示；组织开展了全省社科教学科研骨干研修班，提升了全省社科研究工作者、高校思想政治课老师的教学科研水平；研究起草了甘肃省第一批新型高端智库建设工作实施方案，着力推动我省智库建设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1117"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124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406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145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181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8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277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省哲学社会科学骨干研修班期数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≥3期</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4期</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3.96</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省哲学社会科学骨干研修班人数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省哲学社会科学项目评审专家数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≥7人</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偏差原因：由于年度指标值设置过低导致偏差。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≥80个</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0.61</w:t>
            </w:r>
          </w:p>
        </w:tc>
        <w:tc>
          <w:tcPr>
            <w:tcW w:w="277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省哲学社会重大基地数</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省哲学社会科学骨干研修班合格率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省哲学社会科学骨干研修班批次完成率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省哲学社会科学项目评审准确率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省哲学社会重大基地资助金保障率</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省哲学社会科学骨干研修班开展及时性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省哲学社会科学项目评审及时性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省哲学社会重大基地资助金发放及时性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124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服务社会决策提升性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全省社科理论研究水平提升性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省社科研究的社会影响力提升性</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可持续发展制度</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6"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17"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24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065"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社科理论界满意度</w:t>
            </w:r>
          </w:p>
        </w:tc>
        <w:tc>
          <w:tcPr>
            <w:tcW w:w="145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81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8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775"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23" w:type="dxa"/>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88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97.66</w:t>
            </w:r>
          </w:p>
        </w:tc>
        <w:tc>
          <w:tcPr>
            <w:tcW w:w="2775"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17" w:name="_Toc7049"/>
      <w:r>
        <w:rPr>
          <w:rFonts w:hint="eastAsia"/>
        </w:rPr>
        <w:t>附件8：省“扫黄打非”专项绩效自评表</w:t>
      </w:r>
      <w:bookmarkEnd w:id="117"/>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164"/>
        <w:gridCol w:w="2122"/>
        <w:gridCol w:w="2864"/>
        <w:gridCol w:w="1414"/>
        <w:gridCol w:w="1337"/>
        <w:gridCol w:w="867"/>
        <w:gridCol w:w="839"/>
        <w:gridCol w:w="1119"/>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33"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省“扫黄打非”专项（部门本级）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59"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196"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9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1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150</w:t>
            </w:r>
          </w:p>
        </w:tc>
        <w:tc>
          <w:tcPr>
            <w:tcW w:w="499"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252.9</w:t>
            </w:r>
          </w:p>
        </w:tc>
        <w:tc>
          <w:tcPr>
            <w:tcW w:w="778" w:type="pct"/>
            <w:gridSpan w:val="2"/>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154.82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61.22</w:t>
            </w:r>
            <w:r>
              <w:rPr>
                <w:rFonts w:hint="eastAsia" w:hAnsi="宋体" w:cs="宋体"/>
                <w:color w:val="000000"/>
                <w:kern w:val="0"/>
                <w:sz w:val="21"/>
                <w:szCs w:val="21"/>
              </w:rPr>
              <w:t>%</w:t>
            </w:r>
          </w:p>
        </w:tc>
        <w:tc>
          <w:tcPr>
            <w:tcW w:w="505"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1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150</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150</w:t>
            </w:r>
          </w:p>
        </w:tc>
        <w:tc>
          <w:tcPr>
            <w:tcW w:w="77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51.92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1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102.9</w:t>
            </w:r>
          </w:p>
        </w:tc>
        <w:tc>
          <w:tcPr>
            <w:tcW w:w="778" w:type="pct"/>
            <w:gridSpan w:val="2"/>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102.9</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gridSpan w:val="2"/>
            <w:vMerge w:val="continue"/>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74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  其他资金</w:t>
            </w:r>
          </w:p>
        </w:tc>
        <w:tc>
          <w:tcPr>
            <w:tcW w:w="101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77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w:t>
            </w:r>
          </w:p>
        </w:tc>
        <w:tc>
          <w:tcPr>
            <w:tcW w:w="39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67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74"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70"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严厉打击政治性、宗教类特别是涉藏、涉疆、“三股势力”类非法出版物，坚决封堵互联网有害出版及信息，严厉打击各类淫秽色情有害信息，严查假记者、假新闻、假记者站等。坚决查处从事非法印刷发行黑窝点，取缔游商地摊，收缴非法出版物，侦办大案要案，严惩违法犯罪分子。真正做到守土有责、守土负责、守土尽责，以“扫黄打非”工作新成效维护群众权益、净化社会环境、促进和谐稳定。</w:t>
            </w:r>
          </w:p>
        </w:tc>
        <w:tc>
          <w:tcPr>
            <w:tcW w:w="1974"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在全国两会、国庆节、建党100周年以及其他敏感时间节点加大网上网下清查力度，切实提高网络涉黄涉非问题的发现、处置、打击能力。及时掌握舆情动态，对涉“扫黄打非”偶发性事件和舆论关注热点问题，依法快速处置。不断推动“扫黄打非”进基层与各级综治、精神文明创建、公共文化服务平台特别是与新时代文明实践中心试点工作融合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1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1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9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0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2021年“扫黄打非”骨干培训次数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2021年“扫黄打非”骨干培训人数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≥260人</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50人</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0.19</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偏差原因：今年受疫情影响，减少人员聚集，部分培训计划取消。</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改进措施：下一年度将采取线上线下相结合的方式进行培训，保质保量完成年度培训工作任务。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2021年非法出版物鉴定种类</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≥40种</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69种</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0.89</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“扫黄打非”电视电话会议次数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非法出版传播活动重点案件办理数量</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≥6起</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160起</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0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偏差原因：由于年度指标值设置过低导致偏差。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甘肃扫黄打非公众号、在线举报平台等网络信息平台的运行维护次数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互联网“扫黄打非”网络监测运行维护平台数量</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开展打击侵权盗版“绿书签”系列宣传活动</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全省“扫黄打非”调研次数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全省“扫黄打非”进基层推进会次数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完善“扫黄打非”进基层示范点建设</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≥30个</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30个</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制作“扫黄打非”宣传片、公益广告等媒体宣传次数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4次</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出版物市场检查覆盖率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会议成果应用率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媒体宣传覆盖率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敏感案件处置率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培训考核合格率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社会宣传活动覆盖率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网络平台监测有效率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重点地区基层站点标准化建设合格率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“扫黄打非”会议召开及时性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“扫黄打非”宣传及时性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非法出版物鉴定及时性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扫黄打非案件处理及时性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扫黄打非网络监测及时性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组织调研督查及时性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组织培训及时性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“扫黄打非”社会大众政策宣传知晓率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社会涉黄涉非不良风气改善</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改善</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“扫黄打非”工作</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持续推动</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营造良好文化氛围</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持续推动</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11"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社会大众综合满意度</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4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0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9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97"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0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96"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rPr>
              <w:t>9</w:t>
            </w:r>
            <w:r>
              <w:rPr>
                <w:rFonts w:hint="eastAsia" w:hAnsi="宋体" w:cs="宋体"/>
                <w:b/>
                <w:bCs/>
                <w:color w:val="000000"/>
                <w:kern w:val="0"/>
                <w:sz w:val="21"/>
                <w:szCs w:val="21"/>
                <w:lang w:val="en-US" w:eastAsia="zh-CN"/>
              </w:rPr>
              <w:t>4.2</w:t>
            </w:r>
          </w:p>
        </w:tc>
        <w:tc>
          <w:tcPr>
            <w:tcW w:w="90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18" w:name="_Toc16703"/>
      <w:r>
        <w:rPr>
          <w:rFonts w:hint="eastAsia"/>
        </w:rPr>
        <w:t>附件9：《陇右文库》编纂经费绩效自评表</w:t>
      </w:r>
      <w:bookmarkEnd w:id="118"/>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2108"/>
        <w:gridCol w:w="2955"/>
        <w:gridCol w:w="1382"/>
        <w:gridCol w:w="1275"/>
        <w:gridCol w:w="674"/>
        <w:gridCol w:w="912"/>
        <w:gridCol w:w="96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60"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《陇右文库》编纂经费（部门本级）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74"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96"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4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63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4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8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4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3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0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85"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00"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2021年底前，完成第一子库《方志库（二）》101册和第二子库《著作库》101册编纂出版任务。</w:t>
            </w:r>
          </w:p>
        </w:tc>
        <w:tc>
          <w:tcPr>
            <w:tcW w:w="1985"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截止12月30日，采集《著作库》底本文献164种49260页。其中，省博物馆62种29589页，省图书馆97种18893页，民间5种778页。完成整理编纂122种43817页，除去涉及民族纠纷问题等受到出版限制的文献内容外，实际有效整理32000余页（全书101册容量约5、6万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2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4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3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7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景本量</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≥8万套</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8万套</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聘请专家人数</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40人</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设备采购种类</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≥4种</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4种</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数据采集量</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数据整理量</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8万页</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印刷册数</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=100套</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0套</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一是省内个别主要文献典藏单位大局意识弱化，对编委会相关文件要求执行不够，不能很好地配合《文库》编辑中心的采集工作，在源头上制约着项目整体进度，如《著作库》采集工作从2021年3月份就全面铺开，但与省图11月底才签订《底本使用协议》；二是出版单位介入迟缓，《方志库》（二）（101册）于10月9日提交出版单位审读至今未完成，《方志库》（三）虽已成稿，但未能交付，另外，《文库》编纂与出版审读标准不够统一，导致审读与编纂工作矛盾和问题比较突出。</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改进措施：下一步将优化编纂流程、规范操作动作、确定技术标准、完善管理系统，努力提高编纂出版工作效率。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撰稿字数</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≥30万字</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30万字</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采购设备合格率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聘请专家匹配率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数据整理准确率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印刷合格率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尚未印刷。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印刷内容合规率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尚未印刷。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采购设备及时性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聘请专家及时性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数据采集及时性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印刷及时性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7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尚未印刷。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社会价值提高性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文化产业发展指数提升程度</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文化传承价值提高性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文化软实力提高性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学术价值提高性</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部门协作率</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长效管理机制</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4"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档案管理机制</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完善</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4"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4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读者服务对象满意度</w:t>
            </w:r>
          </w:p>
        </w:tc>
        <w:tc>
          <w:tcPr>
            <w:tcW w:w="4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5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3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6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3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w:t>
            </w:r>
          </w:p>
        </w:tc>
        <w:tc>
          <w:tcPr>
            <w:tcW w:w="97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19" w:name="_Toc18590"/>
      <w:r>
        <w:rPr>
          <w:rFonts w:hint="eastAsia"/>
        </w:rPr>
        <w:t>附件10：少数民族教材出版专项绩效自评表</w:t>
      </w:r>
      <w:bookmarkEnd w:id="119"/>
    </w:p>
    <w:tbl>
      <w:tblPr>
        <w:tblStyle w:val="20"/>
        <w:tblW w:w="4995" w:type="pct"/>
        <w:jc w:val="center"/>
        <w:tblLayout w:type="autofit"/>
        <w:tblCellMar>
          <w:top w:w="0" w:type="dxa"/>
          <w:left w:w="108" w:type="dxa"/>
          <w:bottom w:w="0" w:type="dxa"/>
          <w:right w:w="108" w:type="dxa"/>
        </w:tblCellMar>
      </w:tblPr>
      <w:tblGrid>
        <w:gridCol w:w="690"/>
        <w:gridCol w:w="1268"/>
        <w:gridCol w:w="1334"/>
        <w:gridCol w:w="833"/>
        <w:gridCol w:w="2328"/>
        <w:gridCol w:w="1337"/>
        <w:gridCol w:w="1289"/>
        <w:gridCol w:w="804"/>
        <w:gridCol w:w="816"/>
        <w:gridCol w:w="2402"/>
        <w:gridCol w:w="818"/>
        <w:gridCol w:w="241"/>
      </w:tblGrid>
      <w:tr>
        <w:tblPrEx>
          <w:tblCellMar>
            <w:top w:w="0" w:type="dxa"/>
            <w:left w:w="108" w:type="dxa"/>
            <w:bottom w:w="0" w:type="dxa"/>
            <w:right w:w="108" w:type="dxa"/>
          </w:tblCellMar>
        </w:tblPrEx>
        <w:trPr>
          <w:gridAfter w:val="1"/>
          <w:wAfter w:w="85" w:type="pct"/>
          <w:trHeight w:val="454" w:hRule="atLeast"/>
          <w:jc w:val="center"/>
        </w:trPr>
        <w:tc>
          <w:tcPr>
            <w:tcW w:w="6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22" w:type="pct"/>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少数民族教材出版发行补贴（部门本级）</w:t>
            </w:r>
          </w:p>
        </w:tc>
      </w:tr>
      <w:tr>
        <w:tblPrEx>
          <w:tblCellMar>
            <w:top w:w="0" w:type="dxa"/>
            <w:left w:w="108" w:type="dxa"/>
            <w:bottom w:w="0" w:type="dxa"/>
            <w:right w:w="108" w:type="dxa"/>
          </w:tblCellMar>
        </w:tblPrEx>
        <w:trPr>
          <w:gridAfter w:val="1"/>
          <w:wAfter w:w="85" w:type="pct"/>
          <w:trHeight w:val="454" w:hRule="atLeast"/>
          <w:jc w:val="center"/>
        </w:trPr>
        <w:tc>
          <w:tcPr>
            <w:tcW w:w="69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059" w:type="pct"/>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23"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CellMar>
            <w:top w:w="0" w:type="dxa"/>
            <w:left w:w="108" w:type="dxa"/>
            <w:bottom w:w="0" w:type="dxa"/>
            <w:right w:w="108" w:type="dxa"/>
          </w:tblCellMar>
        </w:tblPrEx>
        <w:trPr>
          <w:trHeight w:val="454" w:hRule="atLeast"/>
          <w:jc w:val="center"/>
        </w:trPr>
        <w:tc>
          <w:tcPr>
            <w:tcW w:w="692" w:type="pct"/>
            <w:gridSpan w:val="2"/>
            <w:vMerge w:val="restart"/>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65"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82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39" w:type="pct"/>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8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4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0" w:type="auto"/>
            <w:tcBorders>
              <w:top w:val="nil"/>
              <w:left w:val="nil"/>
              <w:bottom w:val="nil"/>
              <w:right w:val="nil"/>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其中：当年财政拨款</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上年结转资金</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6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765"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82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9"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8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07"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162"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2507"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落实发行少数民族文字教材的补贴政策，扶持民族地区新华书店进一步做好图书发行工作起到了积极的作用，确保甘南州、天祝县等少数民族地区中小学教材准时到位，支持少数民族地区文化教育事业发展，极大地发挥社会效益，促进民族地区稳定的社会环境。</w:t>
            </w:r>
          </w:p>
        </w:tc>
        <w:tc>
          <w:tcPr>
            <w:tcW w:w="2162" w:type="pct"/>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已将50万元少数民族教材发行补贴分配到甘南、夏河、碌曲等12家少数民族新华书店，中小学受益人数约6.41万人，满足了少数民族群众的文化需求，促进了社会主义和谐发展。</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发行少数民族中小学教材补贴数</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=85万册</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42.7万册</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偏差原因：（1）自2021秋季学期开始，教育厅推广三科统编教材（语文、历史、道德与法治）全省覆盖，民文教材的《历史》和《道德与法治》全部停用。</w:t>
            </w:r>
            <w:r>
              <w:rPr>
                <w:rFonts w:hint="eastAsia" w:hAnsi="宋体" w:cs="宋体"/>
                <w:color w:val="000000"/>
                <w:kern w:val="0"/>
                <w:sz w:val="21"/>
                <w:szCs w:val="21"/>
              </w:rPr>
              <w:br w:type="textWrapping"/>
            </w:r>
            <w:r>
              <w:rPr>
                <w:rFonts w:hint="eastAsia" w:hAnsi="宋体" w:cs="宋体"/>
                <w:color w:val="000000"/>
                <w:kern w:val="0"/>
                <w:sz w:val="21"/>
                <w:szCs w:val="21"/>
              </w:rPr>
              <w:t>（2）双语学生分年级普及汉语教材，一、二、三、四、七、八年级的教材已不分民文教材和普通教材，全部通用普通教材即汉文教材。五、六、九年级除三科统编教材使用普通教材外，其余科目均保留民文教材。</w:t>
            </w:r>
            <w:r>
              <w:rPr>
                <w:rFonts w:hint="eastAsia" w:hAnsi="宋体" w:cs="宋体"/>
                <w:color w:val="000000"/>
                <w:kern w:val="0"/>
                <w:sz w:val="21"/>
                <w:szCs w:val="21"/>
              </w:rPr>
              <w:br w:type="textWrapping"/>
            </w:r>
            <w:r>
              <w:rPr>
                <w:rFonts w:hint="eastAsia" w:hAnsi="宋体" w:cs="宋体"/>
                <w:color w:val="000000"/>
                <w:kern w:val="0"/>
                <w:sz w:val="21"/>
                <w:szCs w:val="21"/>
              </w:rPr>
              <w:t>（3）双语学生主要分布于牧区，随着城镇化的普及，部分双语学生进入普通学校就读，使用民文教材的学生人数逐年下降。</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改进措施：下一步将按照省教育厅及当地教育部门的要求，继续做好少数民族中小学教材的发行服务工作。</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少数民族地区新华书店补贴数</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=12个</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12个</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中小学学生受惠人数</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=5.50万人</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6.41万人</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教材质量合格率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项目验收合格率（%）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项目完成及时率（%）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少数民族地区新华书店利润亏损降低率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9.57%</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0.96</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偏差原因：由于年度指标值设置过高导致偏差。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少数民族地区新华书店销售收入增长率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0.24</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少数民族地区学生整体素质提高率</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提高当地文化教育事业繁荣发展程度</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逐步提高</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坚定少数民族地区学生理想信念</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坚定</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维护少数民族地区文化安全</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成功维护</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增强少数民族地区“五个认同”</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持续增强</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受补贴新华书店满意度</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4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宋体" w:cs="宋体"/>
                <w:color w:val="000000"/>
                <w:kern w:val="0"/>
                <w:sz w:val="21"/>
                <w:szCs w:val="21"/>
              </w:rPr>
            </w:pPr>
          </w:p>
        </w:tc>
        <w:tc>
          <w:tcPr>
            <w:tcW w:w="1116"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学生满意度（%）</w:t>
            </w:r>
          </w:p>
        </w:tc>
        <w:tc>
          <w:tcPr>
            <w:tcW w:w="47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5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r>
        <w:tblPrEx>
          <w:tblCellMar>
            <w:top w:w="0" w:type="dxa"/>
            <w:left w:w="108" w:type="dxa"/>
            <w:bottom w:w="0" w:type="dxa"/>
            <w:right w:w="108" w:type="dxa"/>
          </w:tblCellMar>
        </w:tblPrEx>
        <w:trPr>
          <w:trHeight w:val="454" w:hRule="atLeast"/>
          <w:jc w:val="center"/>
        </w:trPr>
        <w:tc>
          <w:tcPr>
            <w:tcW w:w="3207"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96.2</w:t>
            </w:r>
          </w:p>
        </w:tc>
        <w:tc>
          <w:tcPr>
            <w:tcW w:w="1134"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vAlign w:val="center"/>
          </w:tcPr>
          <w:p>
            <w:pPr>
              <w:widowControl/>
              <w:spacing w:line="240" w:lineRule="auto"/>
              <w:ind w:firstLine="0" w:firstLineChars="0"/>
              <w:jc w:val="left"/>
              <w:rPr>
                <w:rFonts w:hAnsi="Times New Roman" w:cs="Times New Roman"/>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0" w:name="_Toc4013"/>
      <w:r>
        <w:rPr>
          <w:rFonts w:hint="eastAsia"/>
        </w:rPr>
        <w:t>附件11：购买公益性演出绩效自评表</w:t>
      </w:r>
      <w:bookmarkEnd w:id="120"/>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066"/>
        <w:gridCol w:w="2038"/>
        <w:gridCol w:w="2040"/>
        <w:gridCol w:w="1476"/>
        <w:gridCol w:w="1345"/>
        <w:gridCol w:w="824"/>
        <w:gridCol w:w="889"/>
        <w:gridCol w:w="250"/>
        <w:gridCol w:w="145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55"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购买公益性演出（部门本级）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1960"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6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28"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2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6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40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61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3000</w:t>
            </w: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7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0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1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337"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29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337"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1.基层公益性惠民演出302场。演出方式包括“陇原红色文艺轻骑兵”，优秀传统文化、高雅艺术“进福利院、进校园、进企业、进军营”演出。</w:t>
            </w:r>
            <w:r>
              <w:rPr>
                <w:rFonts w:hint="eastAsia" w:hAnsi="宋体" w:cs="宋体"/>
                <w:color w:val="000000"/>
                <w:kern w:val="0"/>
                <w:sz w:val="21"/>
                <w:szCs w:val="21"/>
              </w:rPr>
              <w:br w:type="textWrapping"/>
            </w:r>
            <w:r>
              <w:rPr>
                <w:rFonts w:hint="eastAsia" w:hAnsi="宋体" w:cs="宋体"/>
                <w:color w:val="000000"/>
                <w:kern w:val="0"/>
                <w:sz w:val="21"/>
                <w:szCs w:val="21"/>
              </w:rPr>
              <w:t>2.城市文艺活动122场。演出方式包括精品剧目市州巡演、重大节日演出、周周演。</w:t>
            </w:r>
            <w:r>
              <w:rPr>
                <w:rFonts w:hint="eastAsia" w:hAnsi="宋体" w:cs="宋体"/>
                <w:color w:val="000000"/>
                <w:kern w:val="0"/>
                <w:sz w:val="21"/>
                <w:szCs w:val="21"/>
              </w:rPr>
              <w:br w:type="textWrapping"/>
            </w:r>
            <w:r>
              <w:rPr>
                <w:rFonts w:hint="eastAsia" w:hAnsi="宋体" w:cs="宋体"/>
                <w:color w:val="000000"/>
                <w:kern w:val="0"/>
                <w:sz w:val="21"/>
                <w:szCs w:val="21"/>
              </w:rPr>
              <w:t>3.省上重大演出7场。演出方式包括话剧《八步沙》、舞剧《彩虹之路》省内展《巡》演等。</w:t>
            </w:r>
          </w:p>
        </w:tc>
        <w:tc>
          <w:tcPr>
            <w:tcW w:w="2294"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1.基层公益性惠民演出234场。演出方式包括“陇原红色文艺轻骑兵”，优秀传统文化、高雅艺术“进福利院、进校园、进企业、进军营”演出。</w:t>
            </w:r>
            <w:r>
              <w:rPr>
                <w:rFonts w:hint="eastAsia" w:hAnsi="宋体" w:cs="宋体"/>
                <w:color w:val="000000"/>
                <w:kern w:val="0"/>
                <w:sz w:val="21"/>
                <w:szCs w:val="21"/>
              </w:rPr>
              <w:br w:type="textWrapping"/>
            </w:r>
            <w:r>
              <w:rPr>
                <w:rFonts w:hint="eastAsia" w:hAnsi="宋体" w:cs="宋体"/>
                <w:color w:val="000000"/>
                <w:kern w:val="0"/>
                <w:sz w:val="21"/>
                <w:szCs w:val="21"/>
              </w:rPr>
              <w:t>2.城市文艺活动98场。演出方式包括精品剧目市州巡演、重大节日演出、周周演。</w:t>
            </w:r>
            <w:r>
              <w:rPr>
                <w:rFonts w:hint="eastAsia" w:hAnsi="宋体" w:cs="宋体"/>
                <w:color w:val="000000"/>
                <w:kern w:val="0"/>
                <w:sz w:val="21"/>
                <w:szCs w:val="21"/>
              </w:rPr>
              <w:br w:type="textWrapping"/>
            </w:r>
            <w:r>
              <w:rPr>
                <w:rFonts w:hint="eastAsia" w:hAnsi="宋体" w:cs="宋体"/>
                <w:color w:val="000000"/>
                <w:kern w:val="0"/>
                <w:sz w:val="21"/>
                <w:szCs w:val="21"/>
              </w:rPr>
              <w:t>3.省上重大演出5场。演出方式包括话剧《八步沙》、舞剧《彩虹之路》省内展《巡》演等。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7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1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72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2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2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“陇原红色文艺轻骑兵”演出场次</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=520次</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234次</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1.35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偏差原因：8月、10月新冠肺炎疫情多点爆发，甘肃演艺集团按照省上要求，两次暂停演出工作，严重影响了政府购买公益性演出进度。</w:t>
            </w:r>
            <w:r>
              <w:rPr>
                <w:rFonts w:hint="eastAsia" w:hAnsi="宋体" w:cs="宋体"/>
                <w:color w:val="000000"/>
                <w:kern w:val="0"/>
                <w:sz w:val="21"/>
                <w:szCs w:val="21"/>
              </w:rPr>
              <w:br w:type="textWrapping"/>
            </w:r>
            <w:r>
              <w:rPr>
                <w:rFonts w:hint="eastAsia" w:hAnsi="宋体" w:cs="宋体"/>
                <w:color w:val="000000"/>
                <w:kern w:val="0"/>
                <w:sz w:val="21"/>
                <w:szCs w:val="21"/>
              </w:rPr>
              <w:t>改进措施：甘肃演艺集团于2021年11月24日向省委宣传部报送了《关于申请提前支付2021年省级政府购买省直文艺院团公益性演出第二笔费用及延长演出完成期限的请示》（甘演集党〔2021〕25号），并经省委宣传部批准同意，将2021年省级政府购买省直文艺院团公益性演出完成期限延长至2022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购买公益性演出场次</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=1080次</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337次</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0.62 </w:t>
            </w:r>
          </w:p>
        </w:tc>
        <w:tc>
          <w:tcPr>
            <w:tcW w:w="1215" w:type="pct"/>
            <w:gridSpan w:val="3"/>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民族地区演出场次</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=400次</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65场</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0.33 </w:t>
            </w:r>
          </w:p>
        </w:tc>
        <w:tc>
          <w:tcPr>
            <w:tcW w:w="1215" w:type="pct"/>
            <w:gridSpan w:val="3"/>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购买演出节目质量合格率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98.50%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8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演出覆盖市州率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8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自治州、县区覆盖率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8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对8个自治州、县区全覆盖。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演出视频长传省委宣传部指定多媒体平台是否及时</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演出视频汇总统计是否及时</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演出完成是否及时</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少量演出未完成。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完成合同价款百分比</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78%</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3.9 </w:t>
            </w:r>
          </w:p>
        </w:tc>
        <w:tc>
          <w:tcPr>
            <w:tcW w:w="1215" w:type="pct"/>
            <w:gridSpan w:val="3"/>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将2021年省级政府购买省直文艺院团公益性演出完成期限延长至2022年4月30日。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已演场次演出预算利用率</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5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提升全省人民群众精神文化生活</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提升全省人民群众生态环保意识</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媒体关注持续程度</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7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1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2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演出观众满意度（%）</w:t>
            </w:r>
          </w:p>
        </w:tc>
        <w:tc>
          <w:tcPr>
            <w:tcW w:w="52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7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97.40%</w:t>
            </w:r>
          </w:p>
        </w:tc>
        <w:tc>
          <w:tcPr>
            <w:tcW w:w="29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10 </w:t>
            </w:r>
          </w:p>
        </w:tc>
        <w:tc>
          <w:tcPr>
            <w:tcW w:w="1215"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80"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9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1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94.2</w:t>
            </w:r>
          </w:p>
        </w:tc>
        <w:tc>
          <w:tcPr>
            <w:tcW w:w="12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widowControl/>
        <w:spacing w:line="240" w:lineRule="auto"/>
        <w:ind w:firstLine="0" w:firstLineChars="0"/>
        <w:jc w:val="left"/>
        <w:sectPr>
          <w:pgSz w:w="16838" w:h="11906" w:orient="landscape"/>
          <w:pgMar w:top="1800" w:right="1440" w:bottom="1800" w:left="1440" w:header="851" w:footer="992" w:gutter="0"/>
          <w:cols w:space="425" w:num="1"/>
          <w:docGrid w:type="lines" w:linePitch="381" w:charSpace="0"/>
        </w:sectPr>
      </w:pPr>
    </w:p>
    <w:p>
      <w:pPr>
        <w:pStyle w:val="2"/>
      </w:pPr>
      <w:bookmarkStart w:id="121" w:name="_Toc3825"/>
      <w:r>
        <w:rPr>
          <w:rFonts w:hint="eastAsia"/>
        </w:rPr>
        <w:t>附件12：影视精品及精品剧目绩效自评表</w:t>
      </w:r>
      <w:bookmarkEnd w:id="121"/>
    </w:p>
    <w:tbl>
      <w:tblPr>
        <w:tblStyle w:val="20"/>
        <w:tblW w:w="50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25"/>
        <w:gridCol w:w="2472"/>
        <w:gridCol w:w="2928"/>
        <w:gridCol w:w="1290"/>
        <w:gridCol w:w="1380"/>
        <w:gridCol w:w="660"/>
        <w:gridCol w:w="769"/>
        <w:gridCol w:w="9"/>
        <w:gridCol w:w="1457"/>
        <w:gridCol w:w="145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46"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影视精品及精品剧目（部门本级）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4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1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91"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1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7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0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24"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451"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rPr>
              <w:t>5</w:t>
            </w:r>
            <w:r>
              <w:rPr>
                <w:rFonts w:hint="eastAsia" w:hAnsi="宋体" w:cs="宋体"/>
                <w:color w:val="000000"/>
                <w:kern w:val="0"/>
                <w:sz w:val="21"/>
                <w:szCs w:val="21"/>
                <w:lang w:val="en-US" w:eastAsia="zh-CN"/>
              </w:rPr>
              <w:t>72.59</w:t>
            </w:r>
          </w:p>
        </w:tc>
        <w:tc>
          <w:tcPr>
            <w:tcW w:w="713"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572.59</w:t>
            </w: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24"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45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713"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w:t>
            </w: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24" w:type="pct"/>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72.59</w:t>
            </w:r>
          </w:p>
        </w:tc>
        <w:tc>
          <w:tcPr>
            <w:tcW w:w="713"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72.59</w:t>
            </w: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649"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2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3"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0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256"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35"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0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256"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35"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每年奖励舞台剧、影视剧、纪录片不少于15部，激励文艺工作者创作出一批高质量的优秀文艺作品，进一步保障我省文艺精品创作生产，丰富群众精神文化生活。</w:t>
            </w:r>
          </w:p>
        </w:tc>
        <w:tc>
          <w:tcPr>
            <w:tcW w:w="2004"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奖励舞台剧18部，奖励小戏小品10部，奖励影视剧、宣传片、纪录片等4部，极大地提振了创作者的信心，促进我省文艺创作进一步繁荣。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9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8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8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3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6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025"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资助舞台剧（部）、资助影视剧（部）、资助纪录片、动画片（部）</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≥15部</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32部</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4.65</w:t>
            </w:r>
          </w:p>
        </w:tc>
        <w:tc>
          <w:tcPr>
            <w:tcW w:w="1025"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资助舞台剧演出场次</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具有较高艺术水准</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制作水准达标率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组织电影审查及时性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组织调研督导及时性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组织重大主题文艺创作及时性</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86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全民文化素养</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群众生活丰富度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舆论引导力</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群众享受到基本文化权益</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6"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8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24"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8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30"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25" w:type="pct"/>
            <w:gridSpan w:val="4"/>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54" w:hRule="atLeast"/>
          <w:jc w:val="center"/>
        </w:trPr>
        <w:tc>
          <w:tcPr>
            <w:tcW w:w="3474"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3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7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98.65</w:t>
            </w:r>
          </w:p>
        </w:tc>
        <w:tc>
          <w:tcPr>
            <w:tcW w:w="101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2" w:name="_Toc4096"/>
      <w:r>
        <w:rPr>
          <w:rFonts w:hint="eastAsia"/>
        </w:rPr>
        <w:t>附件13：中国嘉峪关国际短片电影展补助绩效自评表</w:t>
      </w:r>
      <w:bookmarkEnd w:id="122"/>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309"/>
        <w:gridCol w:w="2116"/>
        <w:gridCol w:w="2711"/>
        <w:gridCol w:w="1371"/>
        <w:gridCol w:w="1303"/>
        <w:gridCol w:w="870"/>
        <w:gridCol w:w="853"/>
        <w:gridCol w:w="134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158"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中国嘉峪关国际短片电影展补助（部门本级）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88"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46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1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8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46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60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5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6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7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650"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70"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50"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做好第九届中国嘉峪关国际短片电影展规划策划和前期筹备工作，本届影展旨在搭建国内主旋律短片影视作品集中展示交流平台，促进体现“四个讴歌”的影视作品创作生产，加大力度培育我省青年影视人才，进一步提高影展的知名度和影响。</w:t>
            </w:r>
          </w:p>
        </w:tc>
        <w:tc>
          <w:tcPr>
            <w:tcW w:w="1970"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从第八届开始影展办展周期调整为两年一办，第九届中国嘉峪关国际短片电影展计划于2022年10月底前举办，目前已初步完成第九届中国嘉峪关国际短片电影展活动总体方案，正在进行展会报批程序。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6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5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8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0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规划举办活动项数</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=15项</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15项</w:t>
            </w:r>
          </w:p>
        </w:tc>
        <w:tc>
          <w:tcPr>
            <w:tcW w:w="307"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9</w:t>
            </w:r>
          </w:p>
        </w:tc>
        <w:tc>
          <w:tcPr>
            <w:tcW w:w="30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9</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参展影片的政策符合度</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全国征片流程规范性</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7" w:type="pct"/>
            <w:shd w:val="clear" w:color="auto" w:fill="auto"/>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会前准备工作完成率</w:t>
            </w:r>
          </w:p>
        </w:tc>
        <w:tc>
          <w:tcPr>
            <w:tcW w:w="484"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460"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9</w:t>
            </w:r>
          </w:p>
        </w:tc>
        <w:tc>
          <w:tcPr>
            <w:tcW w:w="301" w:type="pct"/>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9</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会前筹备工作完成及时性</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促进全省电影产业发展</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有效促进</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推动甘肃电影走出去</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有效推动</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举办时限可持续性</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两年一次</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9"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957"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主办方满意度</w:t>
            </w:r>
          </w:p>
        </w:tc>
        <w:tc>
          <w:tcPr>
            <w:tcW w:w="48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46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9"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0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90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3" w:name="_Toc23471"/>
      <w:r>
        <w:rPr>
          <w:rFonts w:hint="eastAsia"/>
        </w:rPr>
        <w:t>附件14：农村电影公益性放映补贴经费绩效自评表</w:t>
      </w:r>
      <w:bookmarkEnd w:id="123"/>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58"/>
        <w:gridCol w:w="2210"/>
        <w:gridCol w:w="3380"/>
        <w:gridCol w:w="1279"/>
        <w:gridCol w:w="1314"/>
        <w:gridCol w:w="292"/>
        <w:gridCol w:w="772"/>
        <w:gridCol w:w="1003"/>
        <w:gridCol w:w="55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75"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农村电影公益放映补贴经费（部门本级）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24"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384"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7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4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6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19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45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566" w:type="pct"/>
            <w:gridSpan w:val="2"/>
            <w:shd w:val="clear" w:color="auto" w:fill="FFFFFF"/>
            <w:noWrap/>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3376.88</w:t>
            </w:r>
          </w:p>
        </w:tc>
        <w:tc>
          <w:tcPr>
            <w:tcW w:w="272"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89.</w:t>
            </w:r>
            <w:r>
              <w:rPr>
                <w:rFonts w:hint="eastAsia" w:hAnsi="宋体" w:cs="宋体"/>
                <w:color w:val="000000"/>
                <w:kern w:val="0"/>
                <w:sz w:val="21"/>
                <w:szCs w:val="21"/>
                <w:lang w:val="en-US" w:eastAsia="zh-CN"/>
              </w:rPr>
              <w:t>24</w:t>
            </w:r>
            <w:r>
              <w:rPr>
                <w:rFonts w:hint="eastAsia" w:hAnsi="宋体" w:cs="宋体"/>
                <w:color w:val="000000"/>
                <w:kern w:val="0"/>
                <w:sz w:val="21"/>
                <w:szCs w:val="21"/>
              </w:rPr>
              <w:t>%</w:t>
            </w:r>
          </w:p>
        </w:tc>
        <w:tc>
          <w:tcPr>
            <w:tcW w:w="562" w:type="pct"/>
            <w:shd w:val="clear" w:color="auto" w:fill="auto"/>
            <w:vAlign w:val="center"/>
          </w:tcPr>
          <w:p>
            <w:pPr>
              <w:widowControl/>
              <w:spacing w:line="240" w:lineRule="auto"/>
              <w:ind w:firstLine="0" w:firstLineChars="0"/>
              <w:jc w:val="center"/>
              <w:rPr>
                <w:rFonts w:hint="eastAsia" w:hAnsi="宋体" w:eastAsia="仿宋_GB2312" w:cs="宋体"/>
                <w:color w:val="000000"/>
                <w:kern w:val="0"/>
                <w:sz w:val="21"/>
                <w:szCs w:val="21"/>
                <w:lang w:eastAsia="zh-CN"/>
              </w:rPr>
            </w:pPr>
            <w:r>
              <w:rPr>
                <w:rFonts w:hint="eastAsia" w:hAnsi="宋体" w:cs="宋体"/>
                <w:color w:val="000000"/>
                <w:kern w:val="0"/>
                <w:sz w:val="21"/>
                <w:szCs w:val="21"/>
              </w:rPr>
              <w:t>8.9</w:t>
            </w:r>
            <w:r>
              <w:rPr>
                <w:rFonts w:hint="eastAsia" w:hAnsi="宋体" w:cs="宋体"/>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其中：当年财政拨款</w:t>
            </w:r>
          </w:p>
        </w:tc>
        <w:tc>
          <w:tcPr>
            <w:tcW w:w="119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451"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3621</w:t>
            </w:r>
          </w:p>
        </w:tc>
        <w:tc>
          <w:tcPr>
            <w:tcW w:w="566" w:type="pct"/>
            <w:gridSpan w:val="2"/>
            <w:shd w:val="clear" w:color="auto" w:fill="FFFFFF"/>
            <w:noWrap/>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3213.72</w:t>
            </w:r>
          </w:p>
        </w:tc>
        <w:tc>
          <w:tcPr>
            <w:tcW w:w="272" w:type="pct"/>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193" w:type="pct"/>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163.16</w:t>
            </w:r>
          </w:p>
        </w:tc>
        <w:tc>
          <w:tcPr>
            <w:tcW w:w="566"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163.16</w:t>
            </w:r>
          </w:p>
        </w:tc>
        <w:tc>
          <w:tcPr>
            <w:tcW w:w="2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193"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833"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5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33"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全省统计上报有效放映点14718个，其中：行政村12155个、中心村79个、乡镇驻地597个、城镇社区607个、固定放映点235个，其余放映点1045个。年放映公益数字电影196692场。</w:t>
            </w:r>
          </w:p>
        </w:tc>
        <w:tc>
          <w:tcPr>
            <w:tcW w:w="1951"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我省按照“每村每月一场”农村电影公益放映的总目标，在调整后的全省14718个有效放映点（其中12155个行政村、79个中心村、597个乡镇驻地、607个城镇社区、235个固定放映点、1045个其他点放映）完成农村电影公益放映196692场，放映完成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0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9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5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7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5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75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7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覆盖城镇社区数量</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=607个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607个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覆盖乡镇驻地数量</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=597个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597个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覆盖行政村数量</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=12234个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12334个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固定放映点及其他放映点</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=1280个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1280个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全省放映点</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=14718个</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14718个</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年度内放映有效场次数量达标率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放映场次完成及时率</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放映服务公司运营支出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=786.77万元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786.77万元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放映员保险支出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=39.34万元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39.34万元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放映员劳务支出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=2202.95万元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2202.95万元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可持续发展基金</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=629.41万元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629.41万元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9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农村公益电影放映版权购买支出</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=275.37万元</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275.37万元</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丰富群众文化生活</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丰富</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提高观众生态环保意识</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9"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健全可持续发展机制</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0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93"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农村群众观影满意度</w:t>
            </w:r>
          </w:p>
        </w:tc>
        <w:tc>
          <w:tcPr>
            <w:tcW w:w="45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=96%</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75"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3" w:type="pct"/>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5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一是放映影片片源不够丰富，新片不足且针对性不强；二是映前宣传引导不够有力，观众获取放映信息不及时；三是影片点映互动不足，观众网络和智能手机使用率不高。四是观影条件受限。农村电影大多数是站着看、露天看，受天气影响较大，观影人数日益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2"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7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53" w:type="pct"/>
            <w:shd w:val="clear" w:color="auto" w:fill="auto"/>
            <w:vAlign w:val="center"/>
          </w:tcPr>
          <w:p>
            <w:pPr>
              <w:widowControl/>
              <w:spacing w:line="240" w:lineRule="auto"/>
              <w:ind w:firstLine="0" w:firstLineChars="0"/>
              <w:jc w:val="center"/>
              <w:rPr>
                <w:rFonts w:hint="eastAsia" w:hAnsi="宋体" w:eastAsia="仿宋_GB2312" w:cs="宋体"/>
                <w:b/>
                <w:bCs/>
                <w:color w:val="000000"/>
                <w:kern w:val="0"/>
                <w:sz w:val="21"/>
                <w:szCs w:val="21"/>
                <w:lang w:val="en-US" w:eastAsia="zh-CN"/>
              </w:rPr>
            </w:pPr>
            <w:r>
              <w:rPr>
                <w:rFonts w:hint="eastAsia" w:hAnsi="宋体" w:cs="宋体"/>
                <w:b/>
                <w:bCs/>
                <w:color w:val="000000"/>
                <w:kern w:val="0"/>
                <w:sz w:val="21"/>
                <w:szCs w:val="21"/>
              </w:rPr>
              <w:t>98.9</w:t>
            </w:r>
            <w:r>
              <w:rPr>
                <w:rFonts w:hint="eastAsia" w:hAnsi="宋体" w:cs="宋体"/>
                <w:b/>
                <w:bCs/>
                <w:color w:val="000000"/>
                <w:kern w:val="0"/>
                <w:sz w:val="21"/>
                <w:szCs w:val="21"/>
                <w:lang w:val="en-US" w:eastAsia="zh-CN"/>
              </w:rPr>
              <w:t>2</w:t>
            </w:r>
          </w:p>
        </w:tc>
        <w:tc>
          <w:tcPr>
            <w:tcW w:w="75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4" w:name="_Toc27070"/>
      <w:r>
        <w:rPr>
          <w:rFonts w:hint="eastAsia"/>
        </w:rPr>
        <w:t>附件15：电影事业发展专项资金绩效自评表</w:t>
      </w:r>
      <w:bookmarkEnd w:id="124"/>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213"/>
        <w:gridCol w:w="960"/>
        <w:gridCol w:w="224"/>
        <w:gridCol w:w="1102"/>
        <w:gridCol w:w="1853"/>
        <w:gridCol w:w="1323"/>
        <w:gridCol w:w="1379"/>
        <w:gridCol w:w="244"/>
        <w:gridCol w:w="490"/>
        <w:gridCol w:w="229"/>
        <w:gridCol w:w="870"/>
        <w:gridCol w:w="105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426" w:type="pct"/>
            <w:gridSpan w:val="1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电影事业发展专项资金（部门本级）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5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82"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11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4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59"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761"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6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468"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1350</w:t>
            </w:r>
          </w:p>
        </w:tc>
        <w:tc>
          <w:tcPr>
            <w:tcW w:w="1119"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1365.42</w:t>
            </w:r>
          </w:p>
        </w:tc>
        <w:tc>
          <w:tcPr>
            <w:tcW w:w="487"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802.85</w:t>
            </w: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58.80</w:t>
            </w:r>
            <w:r>
              <w:rPr>
                <w:rFonts w:hint="eastAsia" w:hAnsi="宋体" w:cs="宋体"/>
                <w:color w:val="000000"/>
                <w:kern w:val="0"/>
                <w:sz w:val="21"/>
                <w:szCs w:val="21"/>
              </w:rPr>
              <w:t>%</w:t>
            </w:r>
          </w:p>
        </w:tc>
        <w:tc>
          <w:tcPr>
            <w:tcW w:w="561"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468"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1350</w:t>
            </w:r>
          </w:p>
        </w:tc>
        <w:tc>
          <w:tcPr>
            <w:tcW w:w="1119"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1350</w:t>
            </w:r>
          </w:p>
        </w:tc>
        <w:tc>
          <w:tcPr>
            <w:tcW w:w="487"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787.43</w:t>
            </w: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468"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1119" w:type="pct"/>
            <w:gridSpan w:val="2"/>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15.42</w:t>
            </w:r>
          </w:p>
        </w:tc>
        <w:tc>
          <w:tcPr>
            <w:tcW w:w="487" w:type="pct"/>
            <w:shd w:val="clear" w:color="auto"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15.42</w:t>
            </w: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468"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1119"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487" w:type="pct"/>
            <w:shd w:val="clear" w:color="auto" w:fill="FFFFFF"/>
            <w:vAlign w:val="center"/>
          </w:tcPr>
          <w:p>
            <w:pPr>
              <w:widowControl/>
              <w:spacing w:line="240" w:lineRule="auto"/>
              <w:ind w:firstLine="0" w:firstLineChars="0"/>
              <w:jc w:val="center"/>
              <w:rPr>
                <w:rFonts w:hAnsi="宋体" w:cs="宋体"/>
                <w:color w:val="000000"/>
                <w:kern w:val="0"/>
                <w:sz w:val="21"/>
                <w:szCs w:val="21"/>
              </w:rPr>
            </w:pPr>
          </w:p>
        </w:tc>
        <w:tc>
          <w:tcPr>
            <w:tcW w:w="25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61"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35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69"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356"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项目主要产出目标包括以下方面：（1）享受新建影院资助家数4家，享受资助金额120万元；（2）享受国产片放映成绩突出奖励影院55家，享受奖励金额300万元；（3）享受新设备购置影院15家，享受资助金额200万元；（4）享受“人民院线”“艺术放映联盟”资助影院45家，享受资助金额200万元；（5）享受少数民族县区数字影院的运营和维护补助影院23家，享受资助金额50万元。按照《国家电影事业发展专项资金征收使用管理办法》（财税〔2015〕91号）、财政部和中央宣传部联合印发的《中央级国家电影事业发展专项资金预算管理办法》（财教〔2019〕260号）和《甘肃省电影事业发展专项资金征收使用管理办法》（甘财科〔2016〕153号）等文件，严格审核申报标准，做好绩效管理，兑现资金。</w:t>
            </w:r>
          </w:p>
        </w:tc>
        <w:tc>
          <w:tcPr>
            <w:tcW w:w="2069" w:type="pct"/>
            <w:gridSpan w:val="7"/>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央级专资主要资助奖励项目为：（1）奖励放映国产影片成绩突出的影院177家，合计奖励194万元；（2）资助新建乡镇、县城影院9家，合计奖励270万元；（3）资助购置先进设备的影院26家，合计奖励46万元；（4）资助“人民院线”影院31家影院，合计资助30万元；（5）资助“艺术放映联盟”的影院17家，合计资助30万元；（6）资助民族语译制工作280万元。</w:t>
            </w:r>
            <w:r>
              <w:rPr>
                <w:rFonts w:hint="eastAsia" w:hAnsi="宋体" w:cs="宋体"/>
                <w:color w:val="000000"/>
                <w:kern w:val="0"/>
                <w:sz w:val="21"/>
                <w:szCs w:val="21"/>
              </w:rPr>
              <w:br w:type="textWrapping"/>
            </w:r>
            <w:r>
              <w:rPr>
                <w:rFonts w:hint="eastAsia" w:hAnsi="宋体" w:cs="宋体"/>
                <w:color w:val="000000"/>
                <w:kern w:val="0"/>
                <w:sz w:val="21"/>
                <w:szCs w:val="21"/>
              </w:rPr>
              <w:t>省级专资主要资助奖励项目为：（1）资助6家出品发行单位国产影片的发行放映，合计奖励200万元；（2）奖励国产影片放映成绩突出影院172家，合计奖励338.5万元。</w:t>
            </w:r>
            <w:r>
              <w:rPr>
                <w:rFonts w:hint="eastAsia" w:hAnsi="宋体" w:cs="宋体"/>
                <w:color w:val="000000"/>
                <w:kern w:val="0"/>
                <w:sz w:val="21"/>
                <w:szCs w:val="21"/>
              </w:rPr>
              <w:br w:type="textWrapping"/>
            </w:r>
            <w:r>
              <w:rPr>
                <w:rFonts w:hint="eastAsia" w:hAnsi="宋体" w:cs="宋体"/>
                <w:color w:val="000000"/>
                <w:kern w:val="0"/>
                <w:sz w:val="21"/>
                <w:szCs w:val="21"/>
              </w:rPr>
              <w:t>严格按照国家和省上各项规定进行组织申报及资金分配，涉及影院的各项数据均来源于国家电影专资办“全国电影票务综合信息系统”，所有资助奖励项目均符合规定，没有超出范围资助奖励的情况。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1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4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6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7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5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3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“人民院线”“艺术放映联盟”资助影院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48家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≥15万场</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144万场次</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观影人次</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≥300万人</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1311万人</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0.34</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国产片放映成绩突出奖励影院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=55家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177家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0.96</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少数民族县区数字影院的运营和维护补助影院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=23家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今年省级电影专资累计上缴1366.29万元，但省财政表示今年仅能使用500万元，剩余资金结转明年使用。根据财政意见，调整省级电影专资分配方案，使用范围由资助新建影院、资助少数民族地区数字影院、资助国产影片的发行放映、奖励国产影片放映成绩突出影院4项缩减为资助国产影片的发行放映、奖励国产影片放映成绩突出影院2项，此项目明年根据结转情况再行分配。</w:t>
            </w:r>
            <w:r>
              <w:rPr>
                <w:rFonts w:hint="eastAsia" w:hAnsi="宋体" w:cs="宋体"/>
                <w:color w:val="000000"/>
                <w:kern w:val="0"/>
                <w:sz w:val="21"/>
                <w:szCs w:val="21"/>
              </w:rPr>
              <w:br w:type="textWrapping"/>
            </w:r>
            <w:r>
              <w:rPr>
                <w:rFonts w:hint="eastAsia" w:hAnsi="宋体" w:cs="宋体"/>
                <w:color w:val="000000"/>
                <w:kern w:val="0"/>
                <w:sz w:val="21"/>
                <w:szCs w:val="21"/>
              </w:rPr>
              <w:t>改进措施：根据财政部门“剩余资金结转明年使用”的意见，包括资助少数民族地区数字影院项目在内的其余项目根据明年结转情况再行分配。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新建影院资助家数</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2.97</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根据实际情况进行资助。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新设备购置影院</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26家</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4.42</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根据实际情况进行资助。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影院舒适度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专资上缴率</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放映及时性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资助及时性</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合理控制成本</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合理</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1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国产片票房</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≥3300万元</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43000万元</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偏差原因：由于实际完成值超过目标值130%导致扣分。 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票房</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≥9000万元</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49200万元</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3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丰富人民群众文化生活</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效果良好</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提高观众环保意识</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18" w:type="pct"/>
            <w:gridSpan w:val="2"/>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43"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健全长效管理机制</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3"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43" w:type="pct"/>
            <w:gridSpan w:val="2"/>
            <w:shd w:val="clear" w:color="auto" w:fill="FFFFFF"/>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观影人员满意度</w:t>
            </w:r>
          </w:p>
        </w:tc>
        <w:tc>
          <w:tcPr>
            <w:tcW w:w="46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571"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54"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02"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54"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07"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86.57</w:t>
            </w:r>
          </w:p>
        </w:tc>
        <w:tc>
          <w:tcPr>
            <w:tcW w:w="93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5" w:name="_Toc4906"/>
      <w:r>
        <w:rPr>
          <w:rFonts w:hint="eastAsia"/>
        </w:rPr>
        <w:t>附件16：业务费（含学习强国甘肃学习平台建设使用推广培训等）绩效自评表</w:t>
      </w:r>
      <w:bookmarkEnd w:id="125"/>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214"/>
        <w:gridCol w:w="1081"/>
        <w:gridCol w:w="406"/>
        <w:gridCol w:w="2939"/>
        <w:gridCol w:w="1471"/>
        <w:gridCol w:w="1321"/>
        <w:gridCol w:w="779"/>
        <w:gridCol w:w="884"/>
        <w:gridCol w:w="1224"/>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458" w:type="pct"/>
            <w:gridSpan w:val="10"/>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业务费（含学习强国甘肃学习平台建设使用推广培训等）（部门本级）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508"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4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09"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4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3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6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2" w:type="pct"/>
            <w:gridSpan w:val="3"/>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3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08"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49"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08"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完成中央和我省安排部署的主题宣讲任务和在职党员干部理论教育、形势任务教育，建好用好管理好“学习强国”甘肃学习平台。</w:t>
            </w:r>
          </w:p>
        </w:tc>
        <w:tc>
          <w:tcPr>
            <w:tcW w:w="1949"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我部组织开展基层理论宣讲活动383场次，组织培训3次，党员干部在职理论学习教育人数达到440万人次，编印发放学习辅导资料0.5万册，切实完成了中央和我省安排部署的主题宣讲任务和在职党员干部理论教育、形势任务教育，“学习强国”甘肃学习平台的宣传优势得到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2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38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80"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1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7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9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“学习强国”甘肃学习平台管理员、供稿员业务培训</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1.62</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根据业务需求开展培训，属于合理区间。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编印学习辅导材料</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&gt;1万册</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0.5万册</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根据工作所需编印学习辅助教材0.5万册。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举办全省理论和形势政策宣讲</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2.43</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根据业务需求开展宣讲活动，属于合理区间。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推进党员干部在职理论学习教育</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&gt;350万人（次）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440万人</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召开全省理论宣讲、座谈及表彰会</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组织开展基层理论宣讲活动</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&gt;300场（次）</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383场</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组织开展理论和现实问题调查研究</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&gt;4篇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4篇</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组织实施重大主题宣讲活动</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&gt;32场</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41场</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材料印刷合格率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党员干部在职理论学习受教育率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调研成果有效率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培训考核合格率（%）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宣讲地区覆盖率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宣讲人群覆盖率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调研、材料印刷、培训及时性</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宣讲活动完成及时性</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“学习强国”甘肃学习平台</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建好用好</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广大党员干部群众的理论水平</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建设幸福美好新甘肃</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提供精神动力</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部门协助</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长效管理制度建设</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配套设施</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齐备</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人员到位率</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3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全省广大党员干部群众满意度</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1" w:type="pct"/>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8"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81" w:type="pct"/>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职工满意度</w:t>
            </w:r>
          </w:p>
        </w:tc>
        <w:tc>
          <w:tcPr>
            <w:tcW w:w="51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&gt;90%</w:t>
            </w:r>
          </w:p>
        </w:tc>
        <w:tc>
          <w:tcPr>
            <w:tcW w:w="46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97%</w:t>
            </w:r>
          </w:p>
        </w:tc>
        <w:tc>
          <w:tcPr>
            <w:tcW w:w="2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5"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7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1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97.05</w:t>
            </w:r>
          </w:p>
        </w:tc>
        <w:tc>
          <w:tcPr>
            <w:tcW w:w="896"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6" w:name="_Toc26444"/>
      <w:r>
        <w:rPr>
          <w:rFonts w:hint="eastAsia"/>
        </w:rPr>
        <w:t>附件17：《党的建设》杂志社办刊补助绩效自评表</w:t>
      </w:r>
      <w:bookmarkEnd w:id="126"/>
    </w:p>
    <w:tbl>
      <w:tblPr>
        <w:tblStyle w:val="20"/>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161"/>
        <w:gridCol w:w="1150"/>
        <w:gridCol w:w="1298"/>
        <w:gridCol w:w="2089"/>
        <w:gridCol w:w="1277"/>
        <w:gridCol w:w="1474"/>
        <w:gridCol w:w="838"/>
        <w:gridCol w:w="912"/>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500" w:type="pct"/>
            <w:gridSpan w:val="9"/>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《党的建设》杂志社办刊补助（部门本级）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46"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537"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810" w:type="pct"/>
            <w:gridSpan w:val="2"/>
            <w:vAlign w:val="center"/>
          </w:tcPr>
          <w:p>
            <w:pPr>
              <w:widowControl/>
              <w:spacing w:line="240" w:lineRule="auto"/>
              <w:ind w:firstLine="0" w:firstLineChars="0"/>
              <w:jc w:val="left"/>
              <w:rPr>
                <w:rFonts w:hAnsi="宋体" w:cs="宋体"/>
                <w:color w:val="000000"/>
                <w:kern w:val="0"/>
                <w:sz w:val="21"/>
                <w:szCs w:val="21"/>
              </w:rPr>
            </w:pPr>
          </w:p>
        </w:tc>
        <w:tc>
          <w:tcPr>
            <w:tcW w:w="45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180"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1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9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0"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922"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45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1719.7</w:t>
            </w:r>
          </w:p>
        </w:tc>
        <w:tc>
          <w:tcPr>
            <w:tcW w:w="1180" w:type="pct"/>
            <w:gridSpan w:val="2"/>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2049.26</w:t>
            </w:r>
          </w:p>
        </w:tc>
        <w:tc>
          <w:tcPr>
            <w:tcW w:w="515" w:type="pct"/>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1498.17</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73.11</w:t>
            </w:r>
            <w:r>
              <w:rPr>
                <w:rFonts w:hint="eastAsia" w:hAnsi="宋体" w:cs="宋体"/>
                <w:color w:val="000000"/>
                <w:kern w:val="0"/>
                <w:sz w:val="21"/>
                <w:szCs w:val="21"/>
              </w:rPr>
              <w:t>%</w:t>
            </w:r>
          </w:p>
        </w:tc>
        <w:tc>
          <w:tcPr>
            <w:tcW w:w="922" w:type="pct"/>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其中：当年财政拨款</w:t>
            </w:r>
          </w:p>
        </w:tc>
        <w:tc>
          <w:tcPr>
            <w:tcW w:w="45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1719.7</w:t>
            </w:r>
          </w:p>
        </w:tc>
        <w:tc>
          <w:tcPr>
            <w:tcW w:w="1180" w:type="pct"/>
            <w:gridSpan w:val="2"/>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1719.7</w:t>
            </w:r>
          </w:p>
        </w:tc>
        <w:tc>
          <w:tcPr>
            <w:tcW w:w="51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1168.61</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455" w:type="pct"/>
            <w:shd w:val="clear" w:color="000000" w:fill="FFFFFF"/>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329.56</w:t>
            </w:r>
          </w:p>
        </w:tc>
        <w:tc>
          <w:tcPr>
            <w:tcW w:w="515" w:type="pct"/>
            <w:shd w:val="clear" w:color="000000" w:fill="FFFFFF"/>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329.56</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45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180"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2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446"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53"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446"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关于党的十九大精神宣传报道工作，按照中宣部的要求，及时规范转载中央主要媒体重点稿件，精心策划专栏专题报告，组织刊发系列评论、重点理论文章和基层经验总结文章，深入开展“新时代新气象新作为”主题采访活动；关于改进宣传方式、提升刊物影响力，开通网络在线阅读，探索实施媒体融合；关于队伍建设和其他工作，强化组织建设，打造过硬干部队伍，做实做细工作，创成精神文明单位，举全社之力，做好精准帮扶工作。</w:t>
            </w:r>
          </w:p>
        </w:tc>
        <w:tc>
          <w:tcPr>
            <w:tcW w:w="2053"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财政统筹比例较上年上调10%，当年项目资金调减为1719.70万元，上年结转项目资金329.56万元，实际支出1498.17万元，实际完成73.11%。我部按照中宣部的要求，及时规范转载中央主要媒体重点稿件，精心策划专栏专题报告，组织刊发系列评论、重点理论文章和基层经验总结文章，深入开展“新时代新气象新作为”主题采访活动，全年组织重要会议10余次，印刷刊物393.60万本，绩效目标完成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0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03"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1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4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22"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发放人员工资</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≤34人</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27人</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1.59</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发行会议参会人数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≥120人</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0人</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偏差原因：受疫情影响，会议取消。</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改进措施：下一步将根据工作安排保质保量完成发行会议。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公务用车运行数量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=2辆</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2辆</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奖励发行先进个人</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≥260人</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190人</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1.46</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偏差原因：由于年度指标值设置过高导致偏差。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奖励征订刊物优秀单位</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≥70个</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70个</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刊物印刷数（本）</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用电度数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≤56000度</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27501度</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0.49</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用水吨数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≤1100吨</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600吨</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邮件跟踪数量</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393.60万本</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组织会议次数</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公务用车维护运行稳定率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刊物发布覆盖率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人员工资足额发放率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印刷品质量合格率（%）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供电供暖及时性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公务用车维护及时性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会议召开及时性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刊物出版及时性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刊物发布及时性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刊物邮发及时性</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人员工资发放及时</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刊物印刷成本</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每册1.77元</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刊物邮寄成本</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6.38元/册</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6.37元/册</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0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社会公众知晓率（%）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长期管理机制</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配套设施到位率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3"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人员到位率</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03"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188"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社会公众满意度（%）</w:t>
            </w:r>
          </w:p>
        </w:tc>
        <w:tc>
          <w:tcPr>
            <w:tcW w:w="44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9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22"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62" w:type="pct"/>
            <w:gridSpan w:val="7"/>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9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0" w:type="pct"/>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rPr>
              <w:t>9</w:t>
            </w:r>
            <w:r>
              <w:rPr>
                <w:rFonts w:hint="eastAsia" w:hAnsi="宋体" w:cs="宋体"/>
                <w:b/>
                <w:bCs/>
                <w:color w:val="000000"/>
                <w:kern w:val="0"/>
                <w:sz w:val="21"/>
                <w:szCs w:val="21"/>
                <w:lang w:val="en-US" w:eastAsia="zh-CN"/>
              </w:rPr>
              <w:t>4.40</w:t>
            </w:r>
          </w:p>
        </w:tc>
        <w:tc>
          <w:tcPr>
            <w:tcW w:w="922" w:type="pct"/>
            <w:shd w:val="clear" w:color="auto" w:fill="auto"/>
            <w:vAlign w:val="center"/>
          </w:tcPr>
          <w:p>
            <w:pPr>
              <w:spacing w:line="240" w:lineRule="auto"/>
              <w:ind w:firstLine="42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7" w:name="_Toc22568"/>
      <w:r>
        <w:rPr>
          <w:rFonts w:hint="eastAsia"/>
        </w:rPr>
        <w:t>附件18：精神文明建设重点工作经费绩效自评表</w:t>
      </w:r>
      <w:bookmarkEnd w:id="127"/>
    </w:p>
    <w:tbl>
      <w:tblPr>
        <w:tblStyle w:val="20"/>
        <w:tblW w:w="49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061"/>
        <w:gridCol w:w="944"/>
        <w:gridCol w:w="195"/>
        <w:gridCol w:w="2574"/>
        <w:gridCol w:w="221"/>
        <w:gridCol w:w="1792"/>
        <w:gridCol w:w="1466"/>
        <w:gridCol w:w="1332"/>
        <w:gridCol w:w="1128"/>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70" w:type="pct"/>
            <w:gridSpan w:val="10"/>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精神文明建设重点工作经费（含新时代文明实践中心试点建设）（部门本级）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3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5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15"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18" w:type="pct"/>
            <w:gridSpan w:val="2"/>
            <w:vAlign w:val="center"/>
          </w:tcPr>
          <w:p>
            <w:pPr>
              <w:widowControl/>
              <w:spacing w:line="240" w:lineRule="auto"/>
              <w:ind w:firstLine="0" w:firstLineChars="0"/>
              <w:jc w:val="left"/>
              <w:rPr>
                <w:rFonts w:hAnsi="宋体" w:cs="宋体"/>
                <w:color w:val="000000"/>
                <w:kern w:val="0"/>
                <w:sz w:val="21"/>
                <w:szCs w:val="21"/>
              </w:rPr>
            </w:pPr>
          </w:p>
        </w:tc>
        <w:tc>
          <w:tcPr>
            <w:tcW w:w="992"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719"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52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477"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0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3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100.00%</w:t>
            </w: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580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1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99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19"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431"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39"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431" w:type="pct"/>
            <w:gridSpan w:val="6"/>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重点工作安排资金支出计划，预计完成精神文明建设重点工作会议不少于6次，全省精神文明建设重点工作培训不少于2次，重点工作活动开展不少于4次，甘肃省精神文明建设宣传杂志印制、先进集体测评验收复查，持续推进志愿服务建设，加强未成年人思想道德建设等工作，着力提高公民道德水平和社会文明程度，为建设幸福美好新甘肃提供坚强思想保证、强大精神动力、丰润道德滋养、良好文化条件。</w:t>
            </w:r>
          </w:p>
        </w:tc>
        <w:tc>
          <w:tcPr>
            <w:tcW w:w="1939"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度，按照年初设定绩效目标值完成精神文明建设重点工作会议6次，全省精神文明建设重点工作培训2次，重点工作活动开展4次，组织开展甘肃省精神文明建设杂志宣传、先进集体测评验收复查，持续推进志愿服务建设，加强未成年人思想道德建设等工作，着力提高了公民道德水平和社会文明程度，为建设幸福美好新甘肃提供坚强思想保证、强大精神动力、丰润道德滋养、良好文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40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01"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64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2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47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0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53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《文明家庭风采》电子相册数量</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=500册</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500册</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甘肃精神文明建设杂志印制</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≥13000册</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13200册</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公益广告宣传制作数量</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5部</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会议资料印刷种类</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≥2种</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2种</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先进集体测评复查批次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2批</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2.96</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2.96</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重点工作会议开展场次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≥6场</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6场</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重点工作培训场次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≥2场</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2场</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重点活动开展场次</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≥4场</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4场</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专题调研次数</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3次</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调研成果转化率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会议精神传达率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重点工作政策符合率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重点活动完成率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专题调研与年度重点工作匹配率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重点工作调研及时行</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资金支付及时性</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公民道德水平和社会文明程度提升性</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会议精神传达率、覆盖率、知晓率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社会和谐稳定提升性</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部门协助率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长效管理机制</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档案管理机制</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完善</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配套设施到位率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人员到位率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3.75</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408" w:type="pct"/>
            <w:gridSpan w:val="2"/>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培训人员满意度</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3.34</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3.34</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38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1001"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实施部门满意率</w:t>
            </w:r>
          </w:p>
        </w:tc>
        <w:tc>
          <w:tcPr>
            <w:tcW w:w="6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2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7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40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534" w:type="pct"/>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4"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47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40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w:t>
            </w:r>
            <w:r>
              <w:rPr>
                <w:rFonts w:hAnsi="宋体" w:cs="宋体"/>
                <w:b/>
                <w:bCs/>
                <w:color w:val="000000"/>
                <w:kern w:val="0"/>
                <w:sz w:val="21"/>
                <w:szCs w:val="21"/>
              </w:rPr>
              <w:t>00</w:t>
            </w:r>
          </w:p>
        </w:tc>
        <w:tc>
          <w:tcPr>
            <w:tcW w:w="534"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8" w:name="_Toc25214"/>
      <w:r>
        <w:rPr>
          <w:rFonts w:hint="eastAsia"/>
        </w:rPr>
        <w:t>附件19：长征长城黄河公园建设及省级文化产业发展改革专项绩效自评表</w:t>
      </w:r>
      <w:bookmarkEnd w:id="128"/>
    </w:p>
    <w:tbl>
      <w:tblPr>
        <w:tblStyle w:val="20"/>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79"/>
        <w:gridCol w:w="2176"/>
        <w:gridCol w:w="3008"/>
        <w:gridCol w:w="1437"/>
        <w:gridCol w:w="1440"/>
        <w:gridCol w:w="719"/>
        <w:gridCol w:w="861"/>
        <w:gridCol w:w="150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76"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长征长城黄河公园建设及省级文化产业发展改革专项（部门本级）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77"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124"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81" w:type="pct"/>
            <w:vAlign w:val="center"/>
          </w:tcPr>
          <w:p>
            <w:pPr>
              <w:widowControl/>
              <w:spacing w:line="240" w:lineRule="auto"/>
              <w:ind w:firstLine="0" w:firstLineChars="0"/>
              <w:jc w:val="left"/>
              <w:rPr>
                <w:rFonts w:hAnsi="宋体" w:cs="宋体"/>
                <w:color w:val="000000"/>
                <w:kern w:val="0"/>
                <w:sz w:val="21"/>
                <w:szCs w:val="21"/>
              </w:rPr>
            </w:pPr>
          </w:p>
        </w:tc>
        <w:tc>
          <w:tcPr>
            <w:tcW w:w="1080"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1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5"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09"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541"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0" w:type="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80"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5"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54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0" w:type="auto"/>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836"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899"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2836"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文化产业发展专项资金的持续投入，引导更多社会和金融资本进入我省文化产业；进一步支持和引导各地文化产业转型升级和产业发展，重点扶持文化产业项目、培育文化市场，推动新兴文化业态的发展。大力发展文化与旅游融合、文化与科技融合、文化与体育融合、文化与农业融合、文化与中医药养生保健融合等五大融合型文化产业，进一步推动我省文化产业发展，文化产业增加值占GDP比重不断提高，逐步成为支柱产业。</w:t>
            </w:r>
          </w:p>
        </w:tc>
        <w:tc>
          <w:tcPr>
            <w:tcW w:w="1899"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推进长城、长征和黄河国家文化公园甘肃段建设，2021年实施甘肃省长城、长征和黄河国家文化公园风貌提升项目，共资助项目20个，推动了新兴文化业态的发展；参加了深圳文博会，进一步推动了我省文化产业发展，文化产业增加值占GDP比重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5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8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1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1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5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1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甘肃展馆布展面积</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≥600平方米</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297平方米</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0.99</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按照举办方要求，分配至各省的主题展馆面积均在300平方米以内。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甘肃展馆布展数量</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≥30个</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3个</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偏差原因：由于年度指标值设置过高导致偏差。</w:t>
            </w:r>
            <w:r>
              <w:rPr>
                <w:rFonts w:hint="eastAsia" w:hAnsi="宋体" w:cs="宋体"/>
                <w:color w:val="000000"/>
                <w:kern w:val="0"/>
                <w:sz w:val="21"/>
                <w:szCs w:val="21"/>
              </w:rPr>
              <w:br w:type="textWrapping"/>
            </w:r>
            <w:r>
              <w:rPr>
                <w:rFonts w:hint="eastAsia" w:hAnsi="宋体" w:cs="宋体"/>
                <w:color w:val="000000"/>
                <w:kern w:val="0"/>
                <w:sz w:val="21"/>
                <w:szCs w:val="21"/>
              </w:rPr>
              <w:t>改进措施：下一年度将综合考虑各方面因素，科学、合理的设置年度指标值。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深圳文博会组织次数</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资助文化产业项目数量</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20个</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为推进长城、长征和黄河国家文化公园甘肃段建设，2021年实施甘肃省长城、长征和黄河国家文化公园风貌提升项目，共资助项目20个，未实施文化产业项目。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补助及贴息资金足额发放率</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受资助/贴息项目政策符合度</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展馆布置验收合格率</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深圳文博会组织及时性</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展馆搭建及时性</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资助/贴息资金发放及时性</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专项资金专家评审费用/次</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≤2万/次</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1.61万/次</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2.42</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81"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经济效益指标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全省文化产业新增从业人数增长</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增长</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全省文化产业增加值占GDP比重</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甘肃省文化产业繁荣发展</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促进</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生态效益指标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推动甘肃绿色生态产业发展</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促进</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推动文化产业发展</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长期</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45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8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108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服务对象综合满意度</w:t>
            </w:r>
          </w:p>
        </w:tc>
        <w:tc>
          <w:tcPr>
            <w:tcW w:w="51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5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5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0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15"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7"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5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0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96.23</w:t>
            </w:r>
          </w:p>
        </w:tc>
        <w:tc>
          <w:tcPr>
            <w:tcW w:w="815"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29" w:name="_Toc32424"/>
      <w:r>
        <w:rPr>
          <w:rFonts w:hint="eastAsia"/>
        </w:rPr>
        <w:t>附件20：优秀图书、音像制品及电子出版物奖评选专项经费（一次性）绩效自评表</w:t>
      </w:r>
      <w:bookmarkEnd w:id="129"/>
    </w:p>
    <w:tbl>
      <w:tblPr>
        <w:tblStyle w:val="20"/>
        <w:tblW w:w="14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07"/>
        <w:gridCol w:w="2025"/>
        <w:gridCol w:w="3420"/>
        <w:gridCol w:w="1339"/>
        <w:gridCol w:w="1352"/>
        <w:gridCol w:w="765"/>
        <w:gridCol w:w="840"/>
        <w:gridCol w:w="175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12385" w:type="dxa"/>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优秀图书、音像制品及电子出版物奖评选专项经费（一次性）（部门本级）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6784"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2117"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3484" w:type="dxa"/>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133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2117"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84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175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88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60</w:t>
            </w: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4" w:type="dxa"/>
            <w:gridSpan w:val="2"/>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3420"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117"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1755" w:type="dxa"/>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8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7891" w:type="dxa"/>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5601" w:type="dxa"/>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891" w:type="dxa"/>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通过评奖活动，对优秀甘版图书和相关个人进行奖励，促进我省出版业高质量发展。</w:t>
            </w:r>
          </w:p>
        </w:tc>
        <w:tc>
          <w:tcPr>
            <w:tcW w:w="5601" w:type="dxa"/>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甘肃省优秀图书、音像制品及电子出版物奖评奖办法》（甘政办发〔2014〕132号）和《甘肃省评比达标表彰活动管理实施细则》，于2021年组织了第十三届省优奖的评选表彰活动，如期评选出61种出版物和20名优秀编辑，完成了既定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restart"/>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1107"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202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342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1339"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1352"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84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26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“五个一工程”奖获奖数量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甘肃省出版物装帧设计奖获奖数量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按照工作实际，未评选。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甘肃省优秀出版专业论文奖数量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按照工作实际，未评选。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甘肃省优秀图书、音像制品及电子出版物奖获奖数量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81个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甘肃省优秀图书编辑奖获奖数量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0.81</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中国出版政府奖获奖数量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0.81</w:t>
            </w:r>
          </w:p>
        </w:tc>
        <w:tc>
          <w:tcPr>
            <w:tcW w:w="2644" w:type="dxa"/>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中华优秀出版物奖获奖数量</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1个</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受奖励项目政策符合度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受奖励项目质检合格率</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受奖励项目综合价值认可度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申报评审及时性</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下发通知及时性</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组织实施及时性</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主流媒体舆论引导力</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文化行业影响力</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2025" w:type="dxa"/>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出版领域从业人员满意度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vMerge w:val="continue"/>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1107"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025" w:type="dxa"/>
            <w:vMerge w:val="continue"/>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420" w:type="dxa"/>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群众满意度</w:t>
            </w:r>
          </w:p>
        </w:tc>
        <w:tc>
          <w:tcPr>
            <w:tcW w:w="1339"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1352"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765"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40" w:type="dxa"/>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44" w:type="dxa"/>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0" w:type="dxa"/>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765"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840" w:type="dxa"/>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88.42</w:t>
            </w:r>
          </w:p>
        </w:tc>
        <w:tc>
          <w:tcPr>
            <w:tcW w:w="2644" w:type="dxa"/>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30" w:name="_Toc17109"/>
      <w:r>
        <w:rPr>
          <w:rFonts w:hint="eastAsia"/>
        </w:rPr>
        <w:t>附件21：敦煌文艺奖评选经费（一次性）绩效自评表</w:t>
      </w:r>
      <w:bookmarkEnd w:id="130"/>
    </w:p>
    <w:tbl>
      <w:tblPr>
        <w:tblStyle w:val="20"/>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25"/>
        <w:gridCol w:w="2056"/>
        <w:gridCol w:w="2461"/>
        <w:gridCol w:w="1365"/>
        <w:gridCol w:w="1335"/>
        <w:gridCol w:w="810"/>
        <w:gridCol w:w="874"/>
        <w:gridCol w:w="175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311"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敦煌文艺奖评选经费（一次性）（部门本级）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17"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2"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22"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0" w:type="pct"/>
            <w:vAlign w:val="center"/>
          </w:tcPr>
          <w:p>
            <w:pPr>
              <w:widowControl/>
              <w:spacing w:line="240" w:lineRule="auto"/>
              <w:ind w:firstLine="0" w:firstLineChars="0"/>
              <w:jc w:val="left"/>
              <w:rPr>
                <w:rFonts w:hAnsi="宋体" w:cs="宋体"/>
                <w:color w:val="000000"/>
                <w:kern w:val="0"/>
                <w:sz w:val="21"/>
                <w:szCs w:val="21"/>
              </w:rPr>
            </w:pPr>
          </w:p>
        </w:tc>
        <w:tc>
          <w:tcPr>
            <w:tcW w:w="886"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91"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2"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14"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632"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7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14.91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7.46%</w:t>
            </w: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其中：当年财政拨款</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w:t>
            </w: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14.91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 xml:space="preserve">     </w:t>
            </w:r>
            <w:r>
              <w:rPr>
                <w:rFonts w:hint="eastAsia" w:hAnsi="宋体" w:cs="宋体"/>
                <w:color w:val="000000"/>
                <w:kern w:val="0"/>
                <w:sz w:val="21"/>
                <w:szCs w:val="21"/>
              </w:rPr>
              <w:t>上年结转资金</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 xml:space="preserve"> </w:t>
            </w:r>
            <w:r>
              <w:rPr>
                <w:rFonts w:hint="eastAsia" w:hAnsi="宋体" w:cs="宋体"/>
                <w:color w:val="000000"/>
                <w:kern w:val="0"/>
                <w:sz w:val="21"/>
                <w:szCs w:val="21"/>
              </w:rPr>
              <w:t>其他资金</w:t>
            </w:r>
          </w:p>
        </w:tc>
        <w:tc>
          <w:tcPr>
            <w:tcW w:w="886"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2"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632"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22"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194"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2522"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评选出90项优秀作品，予以表彰奖励，并对评选规定年限内获全国性文艺奖励的作品和个人予以奖励。</w:t>
            </w:r>
          </w:p>
        </w:tc>
        <w:tc>
          <w:tcPr>
            <w:tcW w:w="2194"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根据《甘肃省敦煌文艺奖评奖办法》的规定，敦煌文艺奖设电影类、广播电视类、文学类、戏剧类、音乐舞蹈类、曲艺杂技类、美术类7个艺术类别，本届共评选出获奖作品94项，其中特别奖6项、荣誉奖2项、作品奖86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0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88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10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center"/>
              <w:rPr>
                <w:rFonts w:hAnsi="宋体" w:cs="宋体"/>
                <w:color w:val="000000"/>
                <w:kern w:val="0"/>
                <w:sz w:val="21"/>
                <w:szCs w:val="21"/>
              </w:rPr>
            </w:pPr>
          </w:p>
        </w:tc>
        <w:tc>
          <w:tcPr>
            <w:tcW w:w="40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电影类奖项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0.77</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符合电影类奖项的有5个。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广播电视类奖项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=14个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美术类奖项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21个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曲艺杂技类奖项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符合曲艺杂技类奖项的有4个。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荣誉奖</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文学类奖项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戏剧类奖项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1.33</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符合戏剧类奖项的有10个。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音乐舞蹈类奖项</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=13个</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13个</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奖励资金足额及时发放率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偏差原因：奖金须经评选领导小组组长、副组长同意，省委宣传部部务会研究后支出。</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改进措施：下一步将加快工作进度，尽快完成资金支付。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征集作品覆盖率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表彰奖励及时率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偏差原因：评选工作有严格程序，需通过评审、上会、公示、签批、下发表彰决定、组织表彰等相关程序稳步推进。</w:t>
            </w:r>
            <w:r>
              <w:rPr>
                <w:rFonts w:hint="eastAsia" w:hAnsi="宋体" w:cs="宋体"/>
                <w:color w:val="000000"/>
                <w:kern w:val="0"/>
                <w:sz w:val="21"/>
                <w:szCs w:val="21"/>
              </w:rPr>
              <w:br w:type="textWrapping"/>
            </w:r>
            <w:r>
              <w:rPr>
                <w:rFonts w:hint="eastAsia" w:hAnsi="宋体" w:cs="宋体"/>
                <w:color w:val="000000"/>
                <w:kern w:val="0"/>
                <w:sz w:val="21"/>
                <w:szCs w:val="21"/>
              </w:rPr>
              <w:t>改进措施：下一步将加快工作进度，尽快完成资金支付。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评选及时率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通知下发及时率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成本控制率</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敦煌文艺奖品牌影响力</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全省人民精神文化生活丰富度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全省文艺工作者创作热情</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获奖作品资料保存规范性</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规范</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文艺工作者参与热情</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优秀成果宣传机制</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完善</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0"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参评者满意度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获奖者满意度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405"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40"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8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评审专家满意度</w:t>
            </w:r>
          </w:p>
        </w:tc>
        <w:tc>
          <w:tcPr>
            <w:tcW w:w="4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4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91"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14"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110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8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91"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14"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86.2 </w:t>
            </w:r>
          </w:p>
        </w:tc>
        <w:tc>
          <w:tcPr>
            <w:tcW w:w="110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31" w:name="_Toc3521"/>
      <w:r>
        <w:rPr>
          <w:rFonts w:hint="eastAsia"/>
        </w:rPr>
        <w:t>附件22：公共文化服务建设体系建设专项（农家书屋）绩效自评表</w:t>
      </w:r>
      <w:bookmarkEnd w:id="131"/>
    </w:p>
    <w:tbl>
      <w:tblPr>
        <w:tblStyle w:val="2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
        <w:gridCol w:w="1079"/>
        <w:gridCol w:w="2269"/>
        <w:gridCol w:w="2183"/>
        <w:gridCol w:w="1388"/>
        <w:gridCol w:w="1613"/>
        <w:gridCol w:w="798"/>
        <w:gridCol w:w="1054"/>
        <w:gridCol w:w="1994"/>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433" w:type="pct"/>
            <w:gridSpan w:val="8"/>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公共文化服务建设体系建设专项（农家书屋）（部门本级）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100"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86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66" w:type="pct"/>
            <w:gridSpan w:val="3"/>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restar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816" w:type="pct"/>
            <w:vAlign w:val="center"/>
          </w:tcPr>
          <w:p>
            <w:pPr>
              <w:widowControl/>
              <w:spacing w:line="240" w:lineRule="auto"/>
              <w:ind w:firstLine="0" w:firstLineChars="0"/>
              <w:jc w:val="left"/>
              <w:rPr>
                <w:rFonts w:hAnsi="宋体" w:cs="宋体"/>
                <w:color w:val="000000"/>
                <w:kern w:val="0"/>
                <w:sz w:val="21"/>
                <w:szCs w:val="21"/>
              </w:rPr>
            </w:pPr>
          </w:p>
        </w:tc>
        <w:tc>
          <w:tcPr>
            <w:tcW w:w="785"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99"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867" w:type="pct"/>
            <w:gridSpan w:val="2"/>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79"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717"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370" w:type="pct"/>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1992.32</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99.62%</w:t>
            </w: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其中：当年财政拨款</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1992.32</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gridSpan w:val="2"/>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其他资金</w:t>
            </w:r>
          </w:p>
        </w:tc>
        <w:tc>
          <w:tcPr>
            <w:tcW w:w="785"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86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c>
          <w:tcPr>
            <w:tcW w:w="717" w:type="pct"/>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7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488" w:type="pct"/>
            <w:gridSpan w:val="4"/>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333" w:type="pct"/>
            <w:gridSpan w:val="5"/>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2488" w:type="pct"/>
            <w:gridSpan w:val="4"/>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深入贯彻落实中宣部等十部门印发的《农家书屋深化改革创新 提升服务效能实施方案》部署要求，结合我省农家书屋管理运行实际和农民群众阅读需求，严格依据中宣部《2021年农家书屋重点出版物推荐目录》，为全省14个市州和兰州新区的16321家农家书屋、6736家农村幼儿园“小书架”补充更新出版物，继续推进数字农家书屋——“百草园”公共文化服务平台建设，承接中宣部相关活动，开展我省乡村阅读推广系列活动，举办全省农家书屋业务培训班等。</w:t>
            </w:r>
          </w:p>
        </w:tc>
        <w:tc>
          <w:tcPr>
            <w:tcW w:w="2333" w:type="pct"/>
            <w:gridSpan w:val="5"/>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省财政下达全省农家书屋出版物补充更新专项资金2000万元。1.为全省14个市州和兰州新区的16321家农家书屋、6736家农村幼儿园补充更新了价值1640万元实洋的出版物。其中，为全省16321家农家书屋配送图书292384册、期刊8000份；为全省6736家农村幼儿园每家补充更新绘本46种，共计309856册，实现农村地区幼儿园“小书架”全覆盖。2.250 万元用于推进数字农家书屋——“百草园”公共文化服务平台提升推广。其中，200万元用于购买数字资源，增加内容供给；50万元用于加大推广普及，截至2021年底，“百草园”下载和关注人数突破100万人次，使用和浏览次数达到2500万次。3.110万元用于承办中宣部2021年“我的书屋·我的梦”农村少年儿童阅读实践示范活动、拍摄《书香陇原——甘肃省农家书屋工作纪实》宣传片、开展我省农村地区阅读推广活动、举办全省农家书屋业务培训班及知识竞赛、推选五星级书屋、建设“红色书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8"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816"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785"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9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80"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1087" w:type="pct"/>
            <w:gridSpan w:val="2"/>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81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农村幼儿园“小书架”补充出版物金额</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=700万元</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673.60万元</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全省10000家农家书屋补充出版物资金</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=1000万元</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966.4万元</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全省出版物补充更新农家书屋数</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=10000家</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16321家</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4.55</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达到预期目标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数字农家书屋补充出版物金额</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=300万元</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250万元</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3.33</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200万元用于购买数字资源，增加内容供给，50万元用于加大推广普及。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出版物正版率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印刷品质量合格率（%）</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全省农家书屋出版物补充更新及时性</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合理控制成本</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合理</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816" w:type="pct"/>
            <w:vMerge w:val="restar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农民群众文化素养水平</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为贫困村精准扶贫提供智力支撑</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效果良好</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vMerge w:val="continue"/>
            <w:vAlign w:val="center"/>
          </w:tcPr>
          <w:p>
            <w:pPr>
              <w:widowControl/>
              <w:spacing w:line="240" w:lineRule="auto"/>
              <w:ind w:firstLine="0" w:firstLineChars="0"/>
              <w:jc w:val="left"/>
              <w:rPr>
                <w:rFonts w:hAnsi="宋体" w:cs="宋体"/>
                <w:color w:val="000000"/>
                <w:kern w:val="0"/>
                <w:sz w:val="21"/>
                <w:szCs w:val="21"/>
              </w:rPr>
            </w:pP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农家书屋深化改革创新服务效能</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持续提升</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spacing w:line="240" w:lineRule="auto"/>
              <w:ind w:firstLine="0" w:firstLineChars="0"/>
              <w:jc w:val="left"/>
              <w:rPr>
                <w:rFonts w:hAnsi="宋体" w:cs="宋体"/>
                <w:color w:val="000000"/>
                <w:kern w:val="0"/>
                <w:sz w:val="21"/>
                <w:szCs w:val="21"/>
              </w:rPr>
            </w:pPr>
          </w:p>
        </w:tc>
        <w:tc>
          <w:tcPr>
            <w:tcW w:w="388"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816"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85" w:type="pct"/>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群众对农家书屋满意度</w:t>
            </w:r>
          </w:p>
        </w:tc>
        <w:tc>
          <w:tcPr>
            <w:tcW w:w="49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580"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98%</w:t>
            </w:r>
          </w:p>
        </w:tc>
        <w:tc>
          <w:tcPr>
            <w:tcW w:w="287"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79" w:type="pct"/>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1087" w:type="pct"/>
            <w:gridSpan w:val="2"/>
            <w:shd w:val="clear" w:color="auto" w:fill="auto"/>
            <w:vAlign w:val="center"/>
          </w:tcPr>
          <w:p>
            <w:pPr>
              <w:widowControl/>
              <w:spacing w:line="240" w:lineRule="auto"/>
              <w:ind w:firstLine="0" w:firstLineChars="0"/>
              <w:jc w:val="left"/>
              <w:rPr>
                <w:rFonts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6" w:type="pct"/>
            <w:gridSpan w:val="6"/>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87"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79" w:type="pct"/>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 xml:space="preserve">98.84 </w:t>
            </w:r>
          </w:p>
        </w:tc>
        <w:tc>
          <w:tcPr>
            <w:tcW w:w="1087" w:type="pct"/>
            <w:gridSpan w:val="2"/>
            <w:shd w:val="clear" w:color="auto" w:fill="auto"/>
            <w:vAlign w:val="center"/>
          </w:tcPr>
          <w:p>
            <w:pPr>
              <w:widowControl/>
              <w:spacing w:line="240" w:lineRule="auto"/>
              <w:ind w:firstLine="0" w:firstLineChars="0"/>
              <w:jc w:val="center"/>
              <w:rPr>
                <w:rFonts w:hAnsi="宋体" w:cs="宋体"/>
                <w:color w:val="000000"/>
                <w:kern w:val="0"/>
                <w:sz w:val="21"/>
                <w:szCs w:val="21"/>
              </w:rPr>
            </w:pPr>
          </w:p>
        </w:tc>
      </w:tr>
    </w:tbl>
    <w:p>
      <w:pPr>
        <w:ind w:firstLine="0" w:firstLineChars="0"/>
        <w:sectPr>
          <w:pgSz w:w="16838" w:h="11906" w:orient="landscape"/>
          <w:pgMar w:top="1800" w:right="1440" w:bottom="1800" w:left="1440" w:header="851" w:footer="992" w:gutter="0"/>
          <w:cols w:space="425" w:num="1"/>
          <w:docGrid w:type="lines" w:linePitch="381" w:charSpace="0"/>
        </w:sectPr>
      </w:pPr>
    </w:p>
    <w:p>
      <w:pPr>
        <w:pStyle w:val="2"/>
      </w:pPr>
      <w:bookmarkStart w:id="132" w:name="_Toc595"/>
      <w:r>
        <w:rPr>
          <w:rFonts w:hint="eastAsia"/>
        </w:rPr>
        <w:t>附件23：“一带一路”美丽乡村论坛办会经费绩效自评表</w:t>
      </w:r>
      <w:bookmarkEnd w:id="132"/>
    </w:p>
    <w:tbl>
      <w:tblPr>
        <w:tblStyle w:val="20"/>
        <w:tblW w:w="4996" w:type="pct"/>
        <w:jc w:val="center"/>
        <w:tblLayout w:type="fixed"/>
        <w:tblCellMar>
          <w:top w:w="0" w:type="dxa"/>
          <w:left w:w="108" w:type="dxa"/>
          <w:bottom w:w="0" w:type="dxa"/>
          <w:right w:w="108" w:type="dxa"/>
        </w:tblCellMar>
      </w:tblPr>
      <w:tblGrid>
        <w:gridCol w:w="1041"/>
        <w:gridCol w:w="1196"/>
        <w:gridCol w:w="2085"/>
        <w:gridCol w:w="2898"/>
        <w:gridCol w:w="1365"/>
        <w:gridCol w:w="1306"/>
        <w:gridCol w:w="793"/>
        <w:gridCol w:w="918"/>
        <w:gridCol w:w="1292"/>
        <w:gridCol w:w="1269"/>
      </w:tblGrid>
      <w:tr>
        <w:tblPrEx>
          <w:tblCellMar>
            <w:top w:w="0" w:type="dxa"/>
            <w:left w:w="108" w:type="dxa"/>
            <w:bottom w:w="0" w:type="dxa"/>
            <w:right w:w="108" w:type="dxa"/>
          </w:tblCellMar>
        </w:tblPrEx>
        <w:trPr>
          <w:trHeight w:val="454" w:hRule="atLeast"/>
          <w:jc w:val="center"/>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1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“一带一路”美丽乡村论坛办会经费（部门本级）</w:t>
            </w:r>
          </w:p>
        </w:tc>
      </w:tr>
      <w:tr>
        <w:tblPrEx>
          <w:tblCellMar>
            <w:top w:w="0" w:type="dxa"/>
            <w:left w:w="108" w:type="dxa"/>
            <w:bottom w:w="0" w:type="dxa"/>
            <w:right w:w="108" w:type="dxa"/>
          </w:tblCellMar>
        </w:tblPrEx>
        <w:trPr>
          <w:trHeight w:val="454" w:hRule="atLeast"/>
          <w:jc w:val="center"/>
        </w:trPr>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CellMar>
            <w:top w:w="0" w:type="dxa"/>
            <w:left w:w="108" w:type="dxa"/>
            <w:bottom w:w="0" w:type="dxa"/>
            <w:right w:w="108" w:type="dxa"/>
          </w:tblCellMar>
        </w:tblPrEx>
        <w:trPr>
          <w:trHeight w:val="454" w:hRule="atLeast"/>
          <w:jc w:val="center"/>
        </w:trPr>
        <w:tc>
          <w:tcPr>
            <w:tcW w:w="789"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128</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6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9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一是围绕2020“一带一路”美丽乡村论坛“牵手‘一带一路’共建美丽乡村”主题，重点宣传我省在美丽乡村建设和经营、乡村产业发展、文化旅游开发、乡村全面振兴等方面的主要做法和取得的成效。二是围绕主论坛和3个分论坛以及展览推进、现场考察、项目签约等活动，充分报道论坛开幕式及其他活动开展情况，宣传报道此次论坛活动取得的成果。三是围绕2020“一带一路”美丽乡村论坛执委会及各专项活动承办单位筹备工作，充分反映省委省、政府高度重视、各地各部门积极参与、社会各界大力支持的相关情况，营造美丽乡村建设良好舆论氛围。</w:t>
            </w:r>
          </w:p>
        </w:tc>
        <w:tc>
          <w:tcPr>
            <w:tcW w:w="196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2020“一带一路”美丽乡村论坛宣传工作，邀请、组织了人民日报、新华社、中国日报、中新社、香港大公文汇传媒集团、香港商报、甘肃日报、省广电总台、甘肃新媒体集团等中央、香港、省属重点新闻单位，综合运用新闻报道、氛围营造、网络推广等形式充分宣传，分会前、会期、会后宣传三个阶段逐次开展，各阶段工作均取得预期成效。</w:t>
            </w:r>
          </w:p>
        </w:tc>
      </w:tr>
      <w:tr>
        <w:tblPrEx>
          <w:tblCellMar>
            <w:top w:w="0" w:type="dxa"/>
            <w:left w:w="108" w:type="dxa"/>
            <w:bottom w:w="0" w:type="dxa"/>
            <w:right w:w="108" w:type="dxa"/>
          </w:tblCellMar>
        </w:tblPrEx>
        <w:trPr>
          <w:trHeight w:val="454" w:hRule="atLeast"/>
          <w:jc w:val="center"/>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b/>
                <w:bCs/>
                <w:color w:val="000000"/>
                <w:kern w:val="0"/>
                <w:sz w:val="21"/>
                <w:szCs w:val="21"/>
              </w:rPr>
              <w:t>绩效指标</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人民网直播场次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新华网直播场次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中国日报专版及其他费用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香港大公/文汇报专版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香港商报专版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中新网直播场次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今日头条/抖音推送量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≥3777</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甘肃日报、省广电总台、甘肃日报报业集团等省属媒体开设倒计时栏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省属媒体直播场次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省属媒体专版、专刊、专栏、专题节目</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人民网直播点击量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95.1万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新华网直播点击量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64.1万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海外社交平台直播点击量（互动量）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≥10万（1万）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10.6万（1.4万）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香港文汇报、香港商报专版推送海外媒体</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≥10家</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16家</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中新网直播点击量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110万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int="eastAsia" w:hAnsi="宋体" w:eastAsia="仿宋_GB2312" w:cs="宋体"/>
                <w:color w:val="000000"/>
                <w:kern w:val="0"/>
                <w:sz w:val="21"/>
                <w:szCs w:val="21"/>
                <w:lang w:eastAsia="zh-CN"/>
              </w:rPr>
            </w:pPr>
            <w:r>
              <w:rPr>
                <w:rFonts w:hint="eastAsia" w:hAnsi="宋体" w:cs="宋体"/>
                <w:color w:val="000000"/>
                <w:kern w:val="0"/>
                <w:sz w:val="21"/>
                <w:szCs w:val="21"/>
              </w:rPr>
              <w:t>今日头条/抖音阅读量（播放量</w:t>
            </w:r>
            <w:r>
              <w:rPr>
                <w:rFonts w:hint="eastAsia" w:hAnsi="宋体" w:cs="宋体"/>
                <w:color w:val="000000"/>
                <w:kern w:val="0"/>
                <w:sz w:val="21"/>
                <w:szCs w:val="21"/>
                <w:lang w:eastAsia="zh-CN"/>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4724万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省属媒体直播点击量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社交平台话题阅读量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1735万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倒计时有效天数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≥5天</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7天</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宣传周期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≥15天</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20天</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新闻报道采写至发布时限</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≤1天</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≤1天</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人民网直播及宣传费用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新华网直播及宣传费用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中国日报专版及其他费用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中新社宣传费用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香港大公文汇传媒集团专版制作发布及推广费用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香港商报专版制作发布及推广费用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甘肃日报社宣传报道经费</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省广电总台宣传报道经费</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今日头条、抖音引流推广</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12万</w:t>
            </w:r>
          </w:p>
        </w:tc>
        <w:tc>
          <w:tcPr>
            <w:tcW w:w="280"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324"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曝光度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≥1000万人次</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1299.5万人次</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互动量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≥30万</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35.4万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0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4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9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33" w:name="_Toc4489"/>
      <w:r>
        <w:rPr>
          <w:rFonts w:hint="eastAsia"/>
        </w:rPr>
        <w:t>附件24：2021年“一会一节”省级办会专项经费绩效自评表</w:t>
      </w:r>
      <w:bookmarkEnd w:id="133"/>
    </w:p>
    <w:tbl>
      <w:tblPr>
        <w:tblStyle w:val="20"/>
        <w:tblW w:w="4996" w:type="pct"/>
        <w:jc w:val="center"/>
        <w:tblLayout w:type="fixed"/>
        <w:tblCellMar>
          <w:top w:w="0" w:type="dxa"/>
          <w:left w:w="108" w:type="dxa"/>
          <w:bottom w:w="0" w:type="dxa"/>
          <w:right w:w="108" w:type="dxa"/>
        </w:tblCellMar>
      </w:tblPr>
      <w:tblGrid>
        <w:gridCol w:w="1021"/>
        <w:gridCol w:w="1301"/>
        <w:gridCol w:w="2072"/>
        <w:gridCol w:w="3533"/>
        <w:gridCol w:w="1634"/>
        <w:gridCol w:w="1351"/>
        <w:gridCol w:w="702"/>
        <w:gridCol w:w="793"/>
        <w:gridCol w:w="898"/>
        <w:gridCol w:w="858"/>
      </w:tblGrid>
      <w:tr>
        <w:tblPrEx>
          <w:tblCellMar>
            <w:top w:w="0" w:type="dxa"/>
            <w:left w:w="108" w:type="dxa"/>
            <w:bottom w:w="0" w:type="dxa"/>
            <w:right w:w="108" w:type="dxa"/>
          </w:tblCellMar>
        </w:tblPrEx>
        <w:trPr>
          <w:trHeight w:val="454" w:hRule="atLeast"/>
          <w:jc w:val="center"/>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1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2021年“一会一节”省级办会专项经费（部门本级）</w:t>
            </w:r>
          </w:p>
        </w:tc>
      </w:tr>
      <w:tr>
        <w:tblPrEx>
          <w:tblCellMar>
            <w:top w:w="0" w:type="dxa"/>
            <w:left w:w="108" w:type="dxa"/>
            <w:bottom w:w="0" w:type="dxa"/>
            <w:right w:w="108" w:type="dxa"/>
          </w:tblCellMar>
        </w:tblPrEx>
        <w:trPr>
          <w:trHeight w:val="454" w:hRule="atLeast"/>
          <w:jc w:val="center"/>
        </w:trPr>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5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8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CellMar>
            <w:top w:w="0" w:type="dxa"/>
            <w:left w:w="108" w:type="dxa"/>
            <w:bottom w:w="0" w:type="dxa"/>
            <w:right w:w="108" w:type="dxa"/>
          </w:tblCellMar>
        </w:tblPrEx>
        <w:trPr>
          <w:trHeight w:val="454" w:hRule="atLeast"/>
          <w:jc w:val="center"/>
        </w:trPr>
        <w:tc>
          <w:tcPr>
            <w:tcW w:w="819"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399.43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99.86%</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9.99</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400</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399.43</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8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30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01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以习近平新时代中国特色社会主义思想为指导，深入贯彻落实习近平总书记在中央政治局第三十次集体学习时的重要讲话精神和习近平总书记对甘肃重要指示精神，深刻认识“一会一节”对服务“一带一路”建设、扩大甘肃影响、讲好中国故事、增进民心相通的重要意义。坚持以文载道、以文传声、以文化人，坚持国际水准、国内一流、中国特色，高标准谋划、高起点筹备、高水平组织，切实把“一会一节”打造成文化交流的盛宴、形象展示的窗口、助推发展的载体。紧扣“交响丝路  文博天下”这一主题，组织协调中央媒体、境外媒体、省内媒体、网络媒体及融媒体平台，深入报道“一会一节”开闭幕式、论坛、展览展会、文艺演出及各分项活动，全面展示节会盛况和我省良好的发展成就，构筑铺天盖地的新闻宣传格局和主动稳妥的舆情管控体系，全面提升“一会一节”全球影响力。</w:t>
            </w:r>
          </w:p>
        </w:tc>
        <w:tc>
          <w:tcPr>
            <w:tcW w:w="1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通过内外联动、媒体融合、平台互补，高密度、大声势、多角度精心组织宣传，已圆满完成“一会一节”对外宣传工作，营造了浓厚的社会氛围、产生了良好的宣传效果、形成了巨大的社会影响。</w:t>
            </w:r>
          </w:p>
        </w:tc>
      </w:tr>
      <w:tr>
        <w:tblPrEx>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247"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邀请媒体数</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45家</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48"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邀请记者人数</w:t>
            </w:r>
          </w:p>
        </w:tc>
        <w:tc>
          <w:tcPr>
            <w:tcW w:w="576"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≥80人</w:t>
            </w:r>
          </w:p>
        </w:tc>
        <w:tc>
          <w:tcPr>
            <w:tcW w:w="476"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80人</w:t>
            </w:r>
          </w:p>
        </w:tc>
        <w:tc>
          <w:tcPr>
            <w:tcW w:w="247"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79" w:type="pc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刊发稿件审读达标率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宣传材料验收合格率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境内外平台多语言刊发稿件完成率</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刊发稿件及时性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9"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宣传活动开展及时性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9"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提升“一会一节”全球影响力</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提升</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新闻媒体宣传内外联动机制健全性</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15</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参会人员满意度</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85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99.99</w:t>
            </w:r>
          </w:p>
        </w:tc>
        <w:tc>
          <w:tcPr>
            <w:tcW w:w="6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34" w:name="_Toc5715"/>
      <w:r>
        <w:rPr>
          <w:rFonts w:hint="eastAsia"/>
        </w:rPr>
        <w:t>附件25：党史学习教育专项补助经费绩效自评表</w:t>
      </w:r>
      <w:bookmarkEnd w:id="134"/>
    </w:p>
    <w:tbl>
      <w:tblPr>
        <w:tblStyle w:val="20"/>
        <w:tblW w:w="4996" w:type="pct"/>
        <w:jc w:val="center"/>
        <w:tblLayout w:type="autofit"/>
        <w:tblCellMar>
          <w:top w:w="0" w:type="dxa"/>
          <w:left w:w="108" w:type="dxa"/>
          <w:bottom w:w="0" w:type="dxa"/>
          <w:right w:w="108" w:type="dxa"/>
        </w:tblCellMar>
      </w:tblPr>
      <w:tblGrid>
        <w:gridCol w:w="999"/>
        <w:gridCol w:w="1096"/>
        <w:gridCol w:w="2003"/>
        <w:gridCol w:w="2578"/>
        <w:gridCol w:w="1671"/>
        <w:gridCol w:w="1425"/>
        <w:gridCol w:w="762"/>
        <w:gridCol w:w="921"/>
        <w:gridCol w:w="1227"/>
        <w:gridCol w:w="1481"/>
      </w:tblGrid>
      <w:tr>
        <w:tblPrEx>
          <w:tblCellMar>
            <w:top w:w="0" w:type="dxa"/>
            <w:left w:w="108" w:type="dxa"/>
            <w:bottom w:w="0" w:type="dxa"/>
            <w:right w:w="108" w:type="dxa"/>
          </w:tblCellMar>
        </w:tblPrEx>
        <w:trPr>
          <w:trHeight w:val="454" w:hRule="atLeast"/>
          <w:jc w:val="center"/>
        </w:trPr>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5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党史学习教育专项补助经费（部门本级）</w:t>
            </w:r>
          </w:p>
        </w:tc>
      </w:tr>
      <w:tr>
        <w:tblPrEx>
          <w:tblCellMar>
            <w:top w:w="0" w:type="dxa"/>
            <w:left w:w="108" w:type="dxa"/>
            <w:bottom w:w="0" w:type="dxa"/>
            <w:right w:w="108" w:type="dxa"/>
          </w:tblCellMar>
        </w:tblPrEx>
        <w:trPr>
          <w:trHeight w:val="454" w:hRule="atLeast"/>
          <w:jc w:val="center"/>
        </w:trPr>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20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2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CellMar>
            <w:top w:w="0" w:type="dxa"/>
            <w:left w:w="108" w:type="dxa"/>
            <w:bottom w:w="0" w:type="dxa"/>
            <w:right w:w="108" w:type="dxa"/>
          </w:tblCellMar>
        </w:tblPrEx>
        <w:trPr>
          <w:trHeight w:val="454" w:hRule="atLeast"/>
          <w:jc w:val="center"/>
        </w:trPr>
        <w:tc>
          <w:tcPr>
            <w:tcW w:w="740"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439.67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87.93</w:t>
            </w:r>
            <w:r>
              <w:rPr>
                <w:rFonts w:hint="eastAsia" w:hAnsi="宋体" w:cs="宋体"/>
                <w:color w:val="000000"/>
                <w:kern w:val="0"/>
                <w:sz w:val="21"/>
                <w:szCs w:val="21"/>
              </w:rPr>
              <w:t>%</w:t>
            </w: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8.79</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500</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color w:val="000000"/>
                <w:kern w:val="0"/>
                <w:sz w:val="21"/>
                <w:szCs w:val="21"/>
                <w:lang w:val="en-US" w:eastAsia="zh-CN"/>
              </w:rPr>
            </w:pPr>
            <w:r>
              <w:rPr>
                <w:rFonts w:hint="eastAsia" w:hAnsi="宋体" w:cs="宋体"/>
                <w:color w:val="000000"/>
                <w:kern w:val="0"/>
                <w:sz w:val="21"/>
                <w:szCs w:val="21"/>
                <w:lang w:val="en-US" w:eastAsia="zh-CN"/>
              </w:rPr>
              <w:t>439.67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4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5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20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5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深入贯彻落实习近平总书记在党史学习教育动员大会上的重要讲话精神，按照《中共中央关于在全党开展党史学习教育的通知》要求，扎实推动各项工作落实落细，真正做到学党史，悟思想，办实事，开新局。</w:t>
            </w:r>
          </w:p>
        </w:tc>
        <w:tc>
          <w:tcPr>
            <w:tcW w:w="20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为了深入贯彻落实习近平总书记在党史学习教育动员大会上的重要讲话精神，2021年我部按照《中共中央关于在全党开展党史学习教育的通知》要求，扎实推动我省党史学习教育活动各项工作落实落细，真正做到学党史，悟思想，办实事，开新局。各项工作顺利开展，组织召开各类重要会议10余场，编印学习辅助教材0.5万册，党史学习教育成效显著，成果不断巩固，整体绩效目标已实现，完成效果良好。</w:t>
            </w:r>
          </w:p>
        </w:tc>
      </w:tr>
      <w:tr>
        <w:tblPrEx>
          <w:tblCellMar>
            <w:top w:w="0" w:type="dxa"/>
            <w:left w:w="108" w:type="dxa"/>
            <w:bottom w:w="0" w:type="dxa"/>
            <w:right w:w="108" w:type="dxa"/>
          </w:tblCellMar>
        </w:tblPrEx>
        <w:trPr>
          <w:trHeight w:val="454"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召开全省党史学习教育总结会议、领导小组及办公室各组和巡回指导组会议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eastAsia="zh-CN"/>
              </w:rPr>
              <w:t>≥</w:t>
            </w:r>
            <w:r>
              <w:rPr>
                <w:rFonts w:hint="eastAsia" w:hAnsi="宋体" w:cs="宋体"/>
                <w:color w:val="000000"/>
                <w:kern w:val="0"/>
                <w:sz w:val="21"/>
                <w:szCs w:val="21"/>
              </w:rPr>
              <w:t>10次</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编印学习辅导材料</w:t>
            </w:r>
          </w:p>
        </w:tc>
        <w:tc>
          <w:tcPr>
            <w:tcW w:w="58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&gt;0.5万册</w:t>
            </w:r>
          </w:p>
        </w:tc>
        <w:tc>
          <w:tcPr>
            <w:tcW w:w="502"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0.5万册</w:t>
            </w:r>
          </w:p>
        </w:tc>
        <w:tc>
          <w:tcPr>
            <w:tcW w:w="269"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325"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109"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p>
        </w:tc>
        <w:tc>
          <w:tcPr>
            <w:tcW w:w="58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02"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9"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5"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党史学习教育培训考核通过率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材料印制合格率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党史学习教育培训完成率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color w:val="000000"/>
                <w:kern w:val="0"/>
                <w:sz w:val="21"/>
                <w:szCs w:val="21"/>
                <w:lang w:val="en-US" w:eastAsia="zh-CN" w:bidi="ar-SA"/>
              </w:rPr>
            </w:pPr>
            <w:r>
              <w:rPr>
                <w:rFonts w:hint="eastAsia" w:hAnsi="宋体" w:cs="宋体"/>
                <w:color w:val="000000"/>
                <w:kern w:val="0"/>
                <w:sz w:val="21"/>
                <w:szCs w:val="21"/>
              </w:rPr>
              <w:t>6</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传达中央党史学习教育领导小组有关精神和要求及时性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党史学习教育“我为群众办实事”实践活动开展及时性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材料印制及时性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保障党史学习教育活动有序开展</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有效保障</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提高全省党员干部的理论水平</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有效提高</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党史学习教育“我为群众办实事”实践活动全省市区县覆盖率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党史学习教育学践联动机制健全性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党史学习教育上下联动机制健全性</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全省党员干部满意度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受教育群众满意度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44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default" w:hAnsi="宋体" w:eastAsia="仿宋_GB2312" w:cs="宋体"/>
                <w:b/>
                <w:bCs/>
                <w:color w:val="000000"/>
                <w:kern w:val="0"/>
                <w:sz w:val="21"/>
                <w:szCs w:val="21"/>
                <w:lang w:val="en-US" w:eastAsia="zh-CN"/>
              </w:rPr>
            </w:pPr>
            <w:r>
              <w:rPr>
                <w:rFonts w:hint="eastAsia" w:hAnsi="宋体" w:cs="宋体"/>
                <w:b/>
                <w:bCs/>
                <w:color w:val="000000"/>
                <w:kern w:val="0"/>
                <w:sz w:val="21"/>
                <w:szCs w:val="21"/>
                <w:lang w:val="en-US" w:eastAsia="zh-CN"/>
              </w:rPr>
              <w:t>98.79</w:t>
            </w:r>
          </w:p>
        </w:tc>
        <w:tc>
          <w:tcPr>
            <w:tcW w:w="9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b/>
                <w:bCs/>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35" w:name="_Toc17702"/>
      <w:r>
        <w:rPr>
          <w:rFonts w:hint="eastAsia"/>
        </w:rPr>
        <w:t>附件26：建党100周年宣传活动经费绩效自评表</w:t>
      </w:r>
      <w:bookmarkEnd w:id="135"/>
    </w:p>
    <w:tbl>
      <w:tblPr>
        <w:tblStyle w:val="20"/>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1142"/>
        <w:gridCol w:w="1515"/>
        <w:gridCol w:w="3255"/>
        <w:gridCol w:w="1383"/>
        <w:gridCol w:w="1382"/>
        <w:gridCol w:w="850"/>
        <w:gridCol w:w="844"/>
        <w:gridCol w:w="1504"/>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项目名称</w:t>
            </w:r>
          </w:p>
        </w:tc>
        <w:tc>
          <w:tcPr>
            <w:tcW w:w="423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建党100周年宣传活动经费（部门本级）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主管部门</w:t>
            </w:r>
          </w:p>
        </w:tc>
        <w:tc>
          <w:tcPr>
            <w:tcW w:w="21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中共甘肃省委宣传部</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实施单位</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中共甘肃省委宣传部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eastAsia="仿宋_GB2312" w:cs="宋体"/>
                <w:b/>
                <w:bCs/>
                <w:color w:val="000000"/>
                <w:kern w:val="0"/>
                <w:sz w:val="21"/>
                <w:szCs w:val="21"/>
                <w:lang w:eastAsia="zh-CN"/>
              </w:rPr>
            </w:pPr>
            <w:r>
              <w:rPr>
                <w:rFonts w:hint="eastAsia" w:hAnsi="宋体" w:cs="宋体"/>
                <w:b/>
                <w:bCs/>
                <w:color w:val="000000"/>
                <w:kern w:val="0"/>
                <w:sz w:val="21"/>
                <w:szCs w:val="21"/>
                <w:lang w:eastAsia="zh-CN"/>
              </w:rPr>
              <w:t>项目资金（万元）</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年初预算数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全年预算数</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全年执行数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分值</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执行率</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宋体" w:eastAsia="仿宋_GB2312" w:cs="宋体"/>
                <w:b/>
                <w:bCs/>
                <w:color w:val="000000"/>
                <w:kern w:val="0"/>
                <w:sz w:val="21"/>
                <w:szCs w:val="21"/>
                <w:lang w:val="en-US" w:eastAsia="zh-CN" w:bidi="ar-SA"/>
              </w:rPr>
            </w:pPr>
            <w:r>
              <w:rPr>
                <w:rFonts w:hint="eastAsia" w:hAnsi="宋体" w:cs="宋体"/>
                <w:b/>
                <w:bCs/>
                <w:color w:val="000000"/>
                <w:kern w:val="0"/>
                <w:sz w:val="21"/>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both"/>
              <w:rPr>
                <w:rFonts w:hint="eastAsia" w:hAnsi="宋体" w:cs="宋体"/>
                <w:color w:val="000000"/>
                <w:kern w:val="0"/>
                <w:sz w:val="21"/>
                <w:szCs w:val="21"/>
              </w:rPr>
            </w:pPr>
            <w:r>
              <w:rPr>
                <w:rFonts w:hint="eastAsia" w:hAnsi="宋体" w:cs="宋体"/>
                <w:color w:val="000000"/>
                <w:kern w:val="0"/>
                <w:sz w:val="21"/>
                <w:szCs w:val="21"/>
                <w:lang w:val="en-US" w:eastAsia="zh-CN"/>
              </w:rPr>
              <w:t>年度资金总额</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其中：当年财政拨款</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1372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both"/>
              <w:rPr>
                <w:rFonts w:hint="eastAsia" w:hAnsi="宋体" w:cs="宋体"/>
                <w:color w:val="000000"/>
                <w:kern w:val="0"/>
                <w:sz w:val="21"/>
                <w:szCs w:val="21"/>
              </w:rPr>
            </w:pPr>
            <w:r>
              <w:rPr>
                <w:rFonts w:hint="eastAsia" w:hAnsi="宋体" w:cs="宋体"/>
                <w:color w:val="000000"/>
                <w:kern w:val="0"/>
                <w:sz w:val="21"/>
                <w:szCs w:val="21"/>
                <w:lang w:val="en-US" w:eastAsia="zh-CN"/>
              </w:rPr>
              <w:t>上年结转资金</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both"/>
              <w:rPr>
                <w:rFonts w:hint="eastAsia" w:hAnsi="宋体" w:cs="宋体"/>
                <w:color w:val="000000"/>
                <w:kern w:val="0"/>
                <w:sz w:val="21"/>
                <w:szCs w:val="21"/>
              </w:rPr>
            </w:pPr>
            <w:r>
              <w:rPr>
                <w:rFonts w:hint="eastAsia" w:hAnsi="宋体" w:cs="宋体"/>
                <w:color w:val="000000"/>
                <w:kern w:val="0"/>
                <w:sz w:val="21"/>
                <w:szCs w:val="21"/>
                <w:lang w:val="en-US" w:eastAsia="zh-CN"/>
              </w:rPr>
              <w:t>其他资金</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年度总体目标</w:t>
            </w:r>
          </w:p>
        </w:tc>
        <w:tc>
          <w:tcPr>
            <w:tcW w:w="25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预期目标</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257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紧紧围绕中国共产党成立100周年主题，开展了多项群众性主题宣传教育活动，为党的百年大庆记载伟业、展示辉煌；组织“讲好中国共产党的故事——‘百年大公见证红色甘肃百年记忆’红色之旅采访活动”和“庆祝中国共产党成立100周年境外媒体甘肃行采访活动”，向境内外宣传建党百年的辉煌成就；以庆祝建党百年为主题，创作一台大型文艺晚会，并创作、推出、宣传2部主题文艺作品；编辑出版《挂职干部看扶贫》（理论卷）（实践卷），聚焦新时代党员干部的担当和理想，以积极的现实主义精神书写当下的脱贫攻坚故事。</w:t>
            </w:r>
          </w:p>
        </w:tc>
        <w:tc>
          <w:tcPr>
            <w:tcW w:w="206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通过对我省红色文化的深入挖掘，讲述我省的红色故事，以图、文、视频等丰富立体的形式向国内外推介红色甘肃，已圆满完成采访活动，为建党百年营造了良好的舆论氛围；创作庆祝建党百年大型音乐舞蹈史诗《致敬百年》，创作推出交响合唱组曲《南梁颂》，指导创作宣传音乐剧《达玛花开》；编辑出版《挂职干部看扶贫》（理论卷）（实践卷）作为《伟大历程——甘肃扶贫纪实》纪录工程丛书之列，是国内首部以东部地区支援西部的扶贫干部的视角，以一个个感人至深的真实故事和包含真情的理论文章，聚焦新时代党员干部的担当和理想，以积极的现实主义精神书写当下的脱贫攻坚故事，致敬独具魅力的扶贫岁月的主旋律图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绩效指标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一级指标</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二级指标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三级指标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年度指标值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实际完成值</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分值</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得分</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产出指标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数量指标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创排大型文艺晚会</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≥1场</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1场</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创作、推出、宣传主题文艺作品</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2部</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邀请媒体数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≥15家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15家</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邀请记者人数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≥6种</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20人</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组织专家评审次数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提供《甘肃决战决胜脱贫攻坚经典案例》数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=100个</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100个</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组织开展庆祝活动场次</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组织重点活动采访报道次数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7次</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《挂职干部看扶贫》印刷册数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=2000册</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2000册</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数据采集量</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≥600页</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600页</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数据整理量</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≥170篇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170篇</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质量指标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演出质量达标率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演出观众上座率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刊发稿件审读达标率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印装质量合格率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3</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时效指标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创作完成及时性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演出完成及时性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宣传报道及时性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刊发稿件及时性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编辑出版及时性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及时</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成本指标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成本控制情况</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在预算范围内</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2</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效益指标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社会效益指标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剧目演出观众好评率</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≥80%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6</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积极营造浓厚舆论氛围</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积极营造</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7</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文化传承价值提高性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提高</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8</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生态效益指标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提升全省人民群众生态环保意识</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提高</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可持续影响指标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内外宣传联动机制健全性</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提升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10</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满意度指标</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服务对象满意度指标</w:t>
            </w: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党员干部满意度</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int="eastAsia" w:hAnsi="宋体" w:cs="宋体"/>
                <w:color w:val="000000"/>
                <w:kern w:val="0"/>
                <w:sz w:val="21"/>
                <w:szCs w:val="21"/>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c>
          <w:tcPr>
            <w:tcW w:w="11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int="eastAsia" w:hAnsi="宋体" w:cs="宋体"/>
                <w:color w:val="000000"/>
                <w:kern w:val="0"/>
                <w:sz w:val="21"/>
                <w:szCs w:val="21"/>
              </w:rPr>
            </w:pPr>
            <w:r>
              <w:rPr>
                <w:rFonts w:hint="eastAsia" w:hAnsi="宋体" w:cs="宋体"/>
                <w:color w:val="000000"/>
                <w:kern w:val="0"/>
                <w:sz w:val="21"/>
                <w:szCs w:val="21"/>
                <w:lang w:val="en-US" w:eastAsia="zh-CN"/>
              </w:rPr>
              <w:t>人民群众满意度</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r>
              <w:rPr>
                <w:rFonts w:hint="eastAsia" w:hAnsi="宋体" w:cs="宋体"/>
                <w:color w:val="000000"/>
                <w:kern w:val="0"/>
                <w:sz w:val="21"/>
                <w:szCs w:val="21"/>
                <w:lang w:val="en-US" w:eastAsia="zh-CN"/>
              </w:rPr>
              <w:t>5</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4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总分</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hAnsi="宋体" w:cs="宋体"/>
                <w:b/>
                <w:bCs/>
                <w:color w:val="000000"/>
                <w:kern w:val="0"/>
                <w:sz w:val="21"/>
                <w:szCs w:val="21"/>
              </w:rPr>
            </w:pPr>
            <w:r>
              <w:rPr>
                <w:rFonts w:hint="eastAsia" w:hAnsi="宋体" w:cs="宋体"/>
                <w:b/>
                <w:bCs/>
                <w:color w:val="000000"/>
                <w:kern w:val="0"/>
                <w:sz w:val="21"/>
                <w:szCs w:val="21"/>
                <w:lang w:val="en-US" w:eastAsia="zh-CN"/>
              </w:rPr>
              <w:t>100</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hAnsi="宋体" w:cs="宋体"/>
                <w:color w:val="000000"/>
                <w:kern w:val="0"/>
                <w:sz w:val="21"/>
                <w:szCs w:val="21"/>
              </w:rPr>
            </w:pPr>
          </w:p>
        </w:tc>
      </w:tr>
    </w:tbl>
    <w:p>
      <w:pPr>
        <w:widowControl/>
        <w:spacing w:line="240" w:lineRule="auto"/>
        <w:ind w:firstLine="0" w:firstLineChars="0"/>
        <w:jc w:val="center"/>
        <w:rPr>
          <w:rFonts w:hint="eastAsia" w:hAnsi="宋体" w:cs="宋体"/>
          <w:color w:val="000000"/>
          <w:kern w:val="0"/>
          <w:sz w:val="21"/>
          <w:szCs w:val="21"/>
        </w:rPr>
        <w:sectPr>
          <w:pgSz w:w="16838" w:h="11906" w:orient="landscape"/>
          <w:pgMar w:top="1800" w:right="1440" w:bottom="1800" w:left="1440" w:header="851" w:footer="992" w:gutter="0"/>
          <w:cols w:space="425" w:num="1"/>
          <w:docGrid w:type="lines" w:linePitch="381" w:charSpace="0"/>
        </w:sectPr>
      </w:pPr>
    </w:p>
    <w:p>
      <w:pPr>
        <w:pStyle w:val="2"/>
      </w:pPr>
      <w:bookmarkStart w:id="136" w:name="_Toc17353"/>
      <w:r>
        <w:rPr>
          <w:rFonts w:hint="eastAsia"/>
        </w:rPr>
        <w:t>附件27：甘肃演艺集团转企事业费绩效自评表</w:t>
      </w:r>
      <w:bookmarkEnd w:id="136"/>
    </w:p>
    <w:tbl>
      <w:tblPr>
        <w:tblStyle w:val="20"/>
        <w:tblW w:w="4996" w:type="pct"/>
        <w:jc w:val="center"/>
        <w:tblLayout w:type="autofit"/>
        <w:tblCellMar>
          <w:top w:w="0" w:type="dxa"/>
          <w:left w:w="108" w:type="dxa"/>
          <w:bottom w:w="0" w:type="dxa"/>
          <w:right w:w="108" w:type="dxa"/>
        </w:tblCellMar>
      </w:tblPr>
      <w:tblGrid>
        <w:gridCol w:w="1111"/>
        <w:gridCol w:w="1130"/>
        <w:gridCol w:w="2099"/>
        <w:gridCol w:w="3527"/>
        <w:gridCol w:w="1323"/>
        <w:gridCol w:w="1371"/>
        <w:gridCol w:w="856"/>
        <w:gridCol w:w="751"/>
        <w:gridCol w:w="992"/>
        <w:gridCol w:w="1003"/>
      </w:tblGrid>
      <w:tr>
        <w:tblPrEx>
          <w:tblCellMar>
            <w:top w:w="0" w:type="dxa"/>
            <w:left w:w="108" w:type="dxa"/>
            <w:bottom w:w="0" w:type="dxa"/>
            <w:right w:w="108" w:type="dxa"/>
          </w:tblCellMar>
        </w:tblPrEx>
        <w:trPr>
          <w:trHeight w:val="454" w:hRule="atLeast"/>
          <w:jc w:val="center"/>
        </w:trPr>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0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甘肃演艺集团转企事业费（部门本级）</w:t>
            </w:r>
          </w:p>
        </w:tc>
      </w:tr>
      <w:tr>
        <w:tblPrEx>
          <w:tblCellMar>
            <w:top w:w="0" w:type="dxa"/>
            <w:left w:w="108" w:type="dxa"/>
            <w:bottom w:w="0" w:type="dxa"/>
            <w:right w:w="108" w:type="dxa"/>
          </w:tblCellMar>
        </w:tblPrEx>
        <w:trPr>
          <w:trHeight w:val="454" w:hRule="atLeast"/>
          <w:jc w:val="center"/>
        </w:trPr>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4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9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CellMar>
            <w:top w:w="0" w:type="dxa"/>
            <w:left w:w="108" w:type="dxa"/>
            <w:bottom w:w="0" w:type="dxa"/>
            <w:right w:w="108" w:type="dxa"/>
          </w:tblCellMar>
        </w:tblPrEx>
        <w:trPr>
          <w:trHeight w:val="454" w:hRule="atLeast"/>
          <w:jc w:val="center"/>
        </w:trPr>
        <w:tc>
          <w:tcPr>
            <w:tcW w:w="791"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2000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7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454"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7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85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保证集团人员基本工资、社保费用的缴纳，维持集团日常运行，加大集团人才培养力度，创排精品剧目。</w:t>
            </w:r>
          </w:p>
        </w:tc>
        <w:tc>
          <w:tcPr>
            <w:tcW w:w="17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缴纳了集团人员基本工资和社保费用，维持了集团的正常运转，通过培训、排演等形式加大了人才的培养，保证了小剧目的创排，全年剧目打磨提升3部，保障了730人的职工基本工资。</w:t>
            </w:r>
          </w:p>
        </w:tc>
      </w:tr>
      <w:tr>
        <w:tblPrEx>
          <w:tblCellMar>
            <w:top w:w="0" w:type="dxa"/>
            <w:left w:w="108" w:type="dxa"/>
            <w:bottom w:w="0" w:type="dxa"/>
            <w:right w:w="108" w:type="dxa"/>
          </w:tblCellMar>
        </w:tblPrEx>
        <w:trPr>
          <w:trHeight w:val="454" w:hRule="atLeast"/>
          <w:jc w:val="center"/>
        </w:trPr>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保障职工基本工资（部分）人数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w:t>
            </w:r>
            <w:r>
              <w:rPr>
                <w:rFonts w:hint="eastAsia" w:hAnsi="宋体" w:cs="宋体"/>
                <w:color w:val="000000"/>
                <w:kern w:val="0"/>
                <w:sz w:val="21"/>
                <w:szCs w:val="21"/>
              </w:rPr>
              <w:t>730人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730人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剧目打磨提升数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w:t>
            </w:r>
            <w:r>
              <w:rPr>
                <w:rFonts w:hint="eastAsia" w:hAnsi="宋体" w:cs="宋体"/>
                <w:color w:val="000000"/>
                <w:kern w:val="0"/>
                <w:sz w:val="21"/>
                <w:szCs w:val="21"/>
              </w:rPr>
              <w:t>3部</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3部</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保障保留正高职事业身份人员工资及社保费人数</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lang w:val="en-US" w:eastAsia="zh-CN"/>
              </w:rPr>
              <w:t>=</w:t>
            </w:r>
            <w:r>
              <w:rPr>
                <w:rFonts w:hint="eastAsia" w:hAnsi="宋体" w:cs="宋体"/>
                <w:color w:val="000000"/>
                <w:kern w:val="0"/>
                <w:sz w:val="21"/>
                <w:szCs w:val="21"/>
              </w:rPr>
              <w:t>35人</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35人</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集团运行稳定率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剧目打磨提升达标率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创排精品剧目工作完成及时性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工资发放及时性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6</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宣传党和国家政策效果</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提升群众文化素养效果</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24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剧目演出观众评价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302"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nil"/>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保障集团持续发展有效性</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有效保障</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较好</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人民群众满意度</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Ansi="宋体" w:cs="宋体"/>
                <w:color w:val="000000"/>
                <w:kern w:val="0"/>
                <w:sz w:val="21"/>
                <w:szCs w:val="21"/>
              </w:rPr>
              <w:t>≥</w:t>
            </w:r>
            <w:r>
              <w:rPr>
                <w:rFonts w:hint="eastAsia" w:hAnsi="宋体" w:cs="宋体"/>
                <w:color w:val="000000"/>
                <w:kern w:val="0"/>
                <w:sz w:val="21"/>
                <w:szCs w:val="21"/>
              </w:rPr>
              <w:t>85%</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372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firstLine="560"/>
        <w:sectPr>
          <w:pgSz w:w="16838" w:h="11906" w:orient="landscape"/>
          <w:pgMar w:top="1800" w:right="1440" w:bottom="1800" w:left="1440" w:header="851" w:footer="992" w:gutter="0"/>
          <w:cols w:space="425" w:num="1"/>
          <w:docGrid w:type="lines" w:linePitch="381" w:charSpace="0"/>
        </w:sectPr>
      </w:pPr>
    </w:p>
    <w:p>
      <w:pPr>
        <w:pStyle w:val="2"/>
      </w:pPr>
      <w:bookmarkStart w:id="137" w:name="_Toc7800"/>
      <w:r>
        <w:rPr>
          <w:rFonts w:hint="eastAsia"/>
        </w:rPr>
        <w:t>附件28：疫情防控宣传报道补助经费绩效自评表</w:t>
      </w:r>
      <w:bookmarkEnd w:id="137"/>
    </w:p>
    <w:tbl>
      <w:tblPr>
        <w:tblStyle w:val="20"/>
        <w:tblW w:w="4995" w:type="pct"/>
        <w:jc w:val="center"/>
        <w:tblLayout w:type="fixed"/>
        <w:tblCellMar>
          <w:top w:w="0" w:type="dxa"/>
          <w:left w:w="108" w:type="dxa"/>
          <w:bottom w:w="0" w:type="dxa"/>
          <w:right w:w="108" w:type="dxa"/>
        </w:tblCellMar>
      </w:tblPr>
      <w:tblGrid>
        <w:gridCol w:w="1014"/>
        <w:gridCol w:w="1175"/>
        <w:gridCol w:w="2062"/>
        <w:gridCol w:w="2923"/>
        <w:gridCol w:w="1640"/>
        <w:gridCol w:w="1345"/>
        <w:gridCol w:w="702"/>
        <w:gridCol w:w="753"/>
        <w:gridCol w:w="929"/>
        <w:gridCol w:w="1617"/>
      </w:tblGrid>
      <w:tr>
        <w:tblPrEx>
          <w:tblCellMar>
            <w:top w:w="0" w:type="dxa"/>
            <w:left w:w="108" w:type="dxa"/>
            <w:bottom w:w="0" w:type="dxa"/>
            <w:right w:w="108" w:type="dxa"/>
          </w:tblCellMar>
        </w:tblPrEx>
        <w:trPr>
          <w:trHeight w:val="397" w:hRule="atLeast"/>
          <w:jc w:val="center"/>
        </w:trPr>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项目名称</w:t>
            </w:r>
          </w:p>
        </w:tc>
        <w:tc>
          <w:tcPr>
            <w:tcW w:w="422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疫情防控宣传报道补助经费（部门本级）</w:t>
            </w:r>
          </w:p>
        </w:tc>
      </w:tr>
      <w:tr>
        <w:tblPrEx>
          <w:tblCellMar>
            <w:top w:w="0" w:type="dxa"/>
            <w:left w:w="108" w:type="dxa"/>
            <w:bottom w:w="0" w:type="dxa"/>
            <w:right w:w="108" w:type="dxa"/>
          </w:tblCellMar>
        </w:tblPrEx>
        <w:trPr>
          <w:trHeight w:val="397" w:hRule="atLeast"/>
          <w:jc w:val="center"/>
        </w:trPr>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主管部门</w:t>
            </w:r>
          </w:p>
        </w:tc>
        <w:tc>
          <w:tcPr>
            <w:tcW w:w="23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实施单位</w:t>
            </w:r>
          </w:p>
        </w:tc>
        <w:tc>
          <w:tcPr>
            <w:tcW w:w="14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中共甘肃省委宣传部</w:t>
            </w:r>
          </w:p>
        </w:tc>
      </w:tr>
      <w:tr>
        <w:tblPrEx>
          <w:tblCellMar>
            <w:top w:w="0" w:type="dxa"/>
            <w:left w:w="108" w:type="dxa"/>
            <w:bottom w:w="0" w:type="dxa"/>
            <w:right w:w="108" w:type="dxa"/>
          </w:tblCellMar>
        </w:tblPrEx>
        <w:trPr>
          <w:trHeight w:val="397" w:hRule="atLeast"/>
          <w:jc w:val="center"/>
        </w:trPr>
        <w:tc>
          <w:tcPr>
            <w:tcW w:w="773" w:type="pct"/>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项目资金（万元）</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年初预算数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全年预算数</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全年执行数</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执行率</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rPr>
                <w:rFonts w:hAnsi="宋体" w:cs="宋体"/>
                <w:color w:val="000000"/>
                <w:kern w:val="0"/>
                <w:sz w:val="21"/>
                <w:szCs w:val="21"/>
              </w:rPr>
            </w:pPr>
            <w:r>
              <w:rPr>
                <w:rFonts w:hint="eastAsia" w:hAnsi="宋体" w:cs="宋体"/>
                <w:color w:val="000000"/>
                <w:kern w:val="0"/>
                <w:sz w:val="21"/>
                <w:szCs w:val="21"/>
              </w:rPr>
              <w:t>年度资金总额</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9.0 </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其中：当年财政拨款</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1000</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270</w:t>
            </w: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上年结转资金</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397" w:hRule="atLeast"/>
          <w:jc w:val="center"/>
        </w:trPr>
        <w:tc>
          <w:tcPr>
            <w:tcW w:w="7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 xml:space="preserve">  其他资金</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w:t>
            </w:r>
          </w:p>
        </w:tc>
      </w:tr>
      <w:tr>
        <w:tblPrEx>
          <w:tblCellMar>
            <w:top w:w="0" w:type="dxa"/>
            <w:left w:w="108" w:type="dxa"/>
            <w:bottom w:w="0" w:type="dxa"/>
            <w:right w:w="108" w:type="dxa"/>
          </w:tblCellMar>
        </w:tblPrEx>
        <w:trPr>
          <w:trHeight w:val="397"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年度总体目标</w:t>
            </w:r>
          </w:p>
        </w:tc>
        <w:tc>
          <w:tcPr>
            <w:tcW w:w="2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预期目标</w:t>
            </w:r>
          </w:p>
        </w:tc>
        <w:tc>
          <w:tcPr>
            <w:tcW w:w="18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实际完成情况</w:t>
            </w: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275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加强全省疫情防控宣传报道，及时准确发布权威信息，积极回应社会关切，有力引导舆论，</w:t>
            </w:r>
            <w:r>
              <w:rPr>
                <w:rFonts w:hint="eastAsia" w:hAnsi="宋体" w:cs="宋体"/>
                <w:color w:val="000000"/>
                <w:kern w:val="0"/>
                <w:sz w:val="21"/>
                <w:szCs w:val="21"/>
                <w:lang w:eastAsia="zh-CN"/>
              </w:rPr>
              <w:t>形成</w:t>
            </w:r>
            <w:r>
              <w:rPr>
                <w:rFonts w:hint="eastAsia" w:hAnsi="宋体" w:cs="宋体"/>
                <w:color w:val="000000"/>
                <w:kern w:val="0"/>
                <w:sz w:val="21"/>
                <w:szCs w:val="21"/>
              </w:rPr>
              <w:t>强大声势，为全省齐心协力抗击疫情凝聚起强大精神力量；根据工作计划完成全省疫情防控媒体宣传报道工作，使得人民群众满意度达到80%以上。</w:t>
            </w:r>
          </w:p>
        </w:tc>
        <w:tc>
          <w:tcPr>
            <w:tcW w:w="18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2021年我部积极组织协调省委网信办、省属主要新闻单位开展涉疫宣传报道，省属媒体闻令而动，调集优势采编力量，全方位、多角度及时准确发布权威报道，讲好战“疚”故事，积极回应社会关切，有力引导舆论，形成了强大宣传声势，为全省齐心协力抗击疫情凝聚了强大精神力量，补助主要媒体4家，新闻媒体发稿100余篇，组织重大主题宣传集中采访10余次，为支持省属媒和重点网站做好疫情防控宣传报道。</w:t>
            </w:r>
          </w:p>
        </w:tc>
      </w:tr>
      <w:tr>
        <w:tblPrEx>
          <w:tblCellMar>
            <w:top w:w="0" w:type="dxa"/>
            <w:left w:w="108" w:type="dxa"/>
            <w:bottom w:w="0" w:type="dxa"/>
            <w:right w:w="108" w:type="dxa"/>
          </w:tblCellMar>
        </w:tblPrEx>
        <w:trPr>
          <w:trHeight w:val="397"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绩效指标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一级指标</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二级指标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三级指标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年度指标值</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实际完成值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分值</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得分</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偏差原因分析及改进措施</w:t>
            </w: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产出指标</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数量指标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发稿数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≥100篇（条）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100篇（条）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媒体宣传数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补助媒体数</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举办新闻发布会场次</w:t>
            </w:r>
          </w:p>
        </w:tc>
        <w:tc>
          <w:tcPr>
            <w:tcW w:w="5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≥2次</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质量指标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主要媒体应补尽补率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重大主题宣传集中采访活动覆盖率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时效指标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宣传活动完成及时性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媒体补助拨付及时性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及时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4</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成本指标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成本控制情况</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在预算范围内</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3</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效益指标</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社会效益指标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省内疫情防控政策群众知晓率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≥75%</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提高群众疫情防控意识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提高</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可持续影响指标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疫情响应急响应机制健全性</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健全</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10</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满意度指标</w:t>
            </w:r>
          </w:p>
        </w:tc>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服务对象满意度指标</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受补助媒体工作人员满意度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95%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auto"/>
              <w:ind w:firstLine="0" w:firstLineChars="0"/>
              <w:jc w:val="center"/>
              <w:rPr>
                <w:rFonts w:hAnsi="宋体" w:cs="宋体"/>
                <w:color w:val="000000"/>
                <w:kern w:val="0"/>
                <w:sz w:val="21"/>
                <w:szCs w:val="21"/>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hAnsi="宋体" w:cs="宋体"/>
                <w:color w:val="000000"/>
                <w:kern w:val="0"/>
                <w:sz w:val="21"/>
                <w:szCs w:val="21"/>
              </w:rPr>
            </w:pPr>
            <w:r>
              <w:rPr>
                <w:rFonts w:hint="eastAsia" w:hAnsi="宋体" w:cs="宋体"/>
                <w:color w:val="000000"/>
                <w:kern w:val="0"/>
                <w:sz w:val="21"/>
                <w:szCs w:val="21"/>
              </w:rPr>
              <w:t>人民群众满意度</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≥80%</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85%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r>
              <w:rPr>
                <w:rFonts w:hint="eastAsia" w:hAnsi="宋体" w:cs="宋体"/>
                <w:color w:val="000000"/>
                <w:kern w:val="0"/>
                <w:sz w:val="21"/>
                <w:szCs w:val="21"/>
              </w:rPr>
              <w:t>5</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color w:val="000000"/>
                <w:kern w:val="0"/>
                <w:sz w:val="21"/>
                <w:szCs w:val="21"/>
              </w:rPr>
            </w:pPr>
          </w:p>
        </w:tc>
      </w:tr>
      <w:tr>
        <w:tblPrEx>
          <w:tblCellMar>
            <w:top w:w="0" w:type="dxa"/>
            <w:left w:w="108" w:type="dxa"/>
            <w:bottom w:w="0" w:type="dxa"/>
            <w:right w:w="108" w:type="dxa"/>
          </w:tblCellMar>
        </w:tblPrEx>
        <w:trPr>
          <w:trHeight w:val="397" w:hRule="atLeast"/>
          <w:jc w:val="center"/>
        </w:trPr>
        <w:tc>
          <w:tcPr>
            <w:tcW w:w="358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总分</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100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Ansi="宋体" w:cs="宋体"/>
                <w:b/>
                <w:bCs/>
                <w:color w:val="000000"/>
                <w:kern w:val="0"/>
                <w:sz w:val="21"/>
                <w:szCs w:val="21"/>
              </w:rPr>
            </w:pPr>
            <w:r>
              <w:rPr>
                <w:rFonts w:hint="eastAsia" w:hAnsi="宋体" w:cs="宋体"/>
                <w:b/>
                <w:bCs/>
                <w:color w:val="000000"/>
                <w:kern w:val="0"/>
                <w:sz w:val="21"/>
                <w:szCs w:val="21"/>
              </w:rPr>
              <w:t>99</w:t>
            </w: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Ansi="宋体" w:cs="宋体"/>
                <w:color w:val="000000"/>
                <w:kern w:val="0"/>
                <w:sz w:val="21"/>
                <w:szCs w:val="21"/>
              </w:rPr>
            </w:pPr>
          </w:p>
        </w:tc>
      </w:tr>
    </w:tbl>
    <w:p>
      <w:pPr>
        <w:ind w:left="0" w:leftChars="0" w:firstLine="0" w:firstLineChars="0"/>
      </w:pPr>
    </w:p>
    <w:sectPr>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东文宋体">
    <w:altName w:val="宋体"/>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966314"/>
    </w:sdtPr>
    <w:sdtContent>
      <w:p>
        <w:pPr>
          <w:pStyle w:val="14"/>
          <w:ind w:firstLine="36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35"/>
    <w:rsid w:val="00014ECA"/>
    <w:rsid w:val="000213E1"/>
    <w:rsid w:val="00023797"/>
    <w:rsid w:val="00030303"/>
    <w:rsid w:val="00030D22"/>
    <w:rsid w:val="0003251B"/>
    <w:rsid w:val="0003556E"/>
    <w:rsid w:val="00036419"/>
    <w:rsid w:val="000438ED"/>
    <w:rsid w:val="00045E47"/>
    <w:rsid w:val="000477C7"/>
    <w:rsid w:val="00050062"/>
    <w:rsid w:val="00050C68"/>
    <w:rsid w:val="00051050"/>
    <w:rsid w:val="00054571"/>
    <w:rsid w:val="00054BF9"/>
    <w:rsid w:val="00055545"/>
    <w:rsid w:val="00055E80"/>
    <w:rsid w:val="00057C3C"/>
    <w:rsid w:val="00064BA0"/>
    <w:rsid w:val="00072DC9"/>
    <w:rsid w:val="000768BF"/>
    <w:rsid w:val="000774B6"/>
    <w:rsid w:val="0008092A"/>
    <w:rsid w:val="00080F05"/>
    <w:rsid w:val="000824D5"/>
    <w:rsid w:val="00083EB0"/>
    <w:rsid w:val="000857E7"/>
    <w:rsid w:val="000966CE"/>
    <w:rsid w:val="0009789F"/>
    <w:rsid w:val="000A3069"/>
    <w:rsid w:val="000B162D"/>
    <w:rsid w:val="000B499A"/>
    <w:rsid w:val="000B5EE8"/>
    <w:rsid w:val="000C07A4"/>
    <w:rsid w:val="000C5001"/>
    <w:rsid w:val="000C7A34"/>
    <w:rsid w:val="000D02CC"/>
    <w:rsid w:val="000E21DD"/>
    <w:rsid w:val="000E4E43"/>
    <w:rsid w:val="000E5742"/>
    <w:rsid w:val="000E7CB2"/>
    <w:rsid w:val="000E7EEC"/>
    <w:rsid w:val="001043F0"/>
    <w:rsid w:val="00104D4A"/>
    <w:rsid w:val="00107B85"/>
    <w:rsid w:val="00110405"/>
    <w:rsid w:val="001115C8"/>
    <w:rsid w:val="001144A3"/>
    <w:rsid w:val="001218CA"/>
    <w:rsid w:val="00123295"/>
    <w:rsid w:val="00126C53"/>
    <w:rsid w:val="00127AE4"/>
    <w:rsid w:val="001318D6"/>
    <w:rsid w:val="00142AAB"/>
    <w:rsid w:val="001469EA"/>
    <w:rsid w:val="00146AFC"/>
    <w:rsid w:val="00147219"/>
    <w:rsid w:val="00151394"/>
    <w:rsid w:val="0016489D"/>
    <w:rsid w:val="00166D33"/>
    <w:rsid w:val="00172A27"/>
    <w:rsid w:val="0017794A"/>
    <w:rsid w:val="00187620"/>
    <w:rsid w:val="0018791C"/>
    <w:rsid w:val="00187D6E"/>
    <w:rsid w:val="0019558D"/>
    <w:rsid w:val="0019687D"/>
    <w:rsid w:val="001971E3"/>
    <w:rsid w:val="00197906"/>
    <w:rsid w:val="001A6A95"/>
    <w:rsid w:val="001A730D"/>
    <w:rsid w:val="001B5C69"/>
    <w:rsid w:val="001B6770"/>
    <w:rsid w:val="001D44D2"/>
    <w:rsid w:val="001D6C13"/>
    <w:rsid w:val="001E60FD"/>
    <w:rsid w:val="001E7EB9"/>
    <w:rsid w:val="001F504F"/>
    <w:rsid w:val="001F5884"/>
    <w:rsid w:val="00205DB9"/>
    <w:rsid w:val="00210E3F"/>
    <w:rsid w:val="00216967"/>
    <w:rsid w:val="00217014"/>
    <w:rsid w:val="00221093"/>
    <w:rsid w:val="00234C24"/>
    <w:rsid w:val="002359C2"/>
    <w:rsid w:val="002410C1"/>
    <w:rsid w:val="00245EF8"/>
    <w:rsid w:val="00247E57"/>
    <w:rsid w:val="00250CE5"/>
    <w:rsid w:val="002602A0"/>
    <w:rsid w:val="00264319"/>
    <w:rsid w:val="002644B3"/>
    <w:rsid w:val="002646B4"/>
    <w:rsid w:val="00270387"/>
    <w:rsid w:val="002708CD"/>
    <w:rsid w:val="00271551"/>
    <w:rsid w:val="00284101"/>
    <w:rsid w:val="00284FDB"/>
    <w:rsid w:val="002A0996"/>
    <w:rsid w:val="002A138B"/>
    <w:rsid w:val="002A2E00"/>
    <w:rsid w:val="002D1764"/>
    <w:rsid w:val="002E49E9"/>
    <w:rsid w:val="002E56E5"/>
    <w:rsid w:val="002E66E3"/>
    <w:rsid w:val="002F1545"/>
    <w:rsid w:val="002F41C2"/>
    <w:rsid w:val="00303AF8"/>
    <w:rsid w:val="00303D48"/>
    <w:rsid w:val="003079AE"/>
    <w:rsid w:val="0031124F"/>
    <w:rsid w:val="003157EB"/>
    <w:rsid w:val="00317A62"/>
    <w:rsid w:val="00317D61"/>
    <w:rsid w:val="00324E61"/>
    <w:rsid w:val="00325C0E"/>
    <w:rsid w:val="00327D66"/>
    <w:rsid w:val="00327DA2"/>
    <w:rsid w:val="00331B0F"/>
    <w:rsid w:val="003375F0"/>
    <w:rsid w:val="00342010"/>
    <w:rsid w:val="00344D6E"/>
    <w:rsid w:val="00344EC5"/>
    <w:rsid w:val="00347693"/>
    <w:rsid w:val="00347716"/>
    <w:rsid w:val="003513EB"/>
    <w:rsid w:val="0035288A"/>
    <w:rsid w:val="00361E35"/>
    <w:rsid w:val="00361FD5"/>
    <w:rsid w:val="00372B94"/>
    <w:rsid w:val="00375BFC"/>
    <w:rsid w:val="00376661"/>
    <w:rsid w:val="00380B7B"/>
    <w:rsid w:val="0038204E"/>
    <w:rsid w:val="0038216D"/>
    <w:rsid w:val="00390024"/>
    <w:rsid w:val="00393B9F"/>
    <w:rsid w:val="003950A9"/>
    <w:rsid w:val="003A07DB"/>
    <w:rsid w:val="003C318A"/>
    <w:rsid w:val="003D4293"/>
    <w:rsid w:val="003D4CF5"/>
    <w:rsid w:val="003D7DA5"/>
    <w:rsid w:val="003E77A6"/>
    <w:rsid w:val="00413889"/>
    <w:rsid w:val="004212FA"/>
    <w:rsid w:val="00426852"/>
    <w:rsid w:val="00426E93"/>
    <w:rsid w:val="00430D29"/>
    <w:rsid w:val="00433ABE"/>
    <w:rsid w:val="00436AD4"/>
    <w:rsid w:val="00441182"/>
    <w:rsid w:val="00441A48"/>
    <w:rsid w:val="00452EE4"/>
    <w:rsid w:val="004554DB"/>
    <w:rsid w:val="004557EB"/>
    <w:rsid w:val="0045737A"/>
    <w:rsid w:val="00463F4B"/>
    <w:rsid w:val="004663B5"/>
    <w:rsid w:val="00466DA0"/>
    <w:rsid w:val="004706D3"/>
    <w:rsid w:val="00470CA9"/>
    <w:rsid w:val="00477568"/>
    <w:rsid w:val="00483DFE"/>
    <w:rsid w:val="004858AB"/>
    <w:rsid w:val="0048753B"/>
    <w:rsid w:val="004906C4"/>
    <w:rsid w:val="004A05FD"/>
    <w:rsid w:val="004A433D"/>
    <w:rsid w:val="004A6E01"/>
    <w:rsid w:val="004B6014"/>
    <w:rsid w:val="004B6B3B"/>
    <w:rsid w:val="004C3985"/>
    <w:rsid w:val="004C5A69"/>
    <w:rsid w:val="004D073A"/>
    <w:rsid w:val="004D7481"/>
    <w:rsid w:val="004E081D"/>
    <w:rsid w:val="004E24AA"/>
    <w:rsid w:val="004E3422"/>
    <w:rsid w:val="004E554B"/>
    <w:rsid w:val="004F16D8"/>
    <w:rsid w:val="004F288A"/>
    <w:rsid w:val="004F3B61"/>
    <w:rsid w:val="004F45E7"/>
    <w:rsid w:val="00506184"/>
    <w:rsid w:val="005147A9"/>
    <w:rsid w:val="00515336"/>
    <w:rsid w:val="0052694A"/>
    <w:rsid w:val="00526A60"/>
    <w:rsid w:val="00531442"/>
    <w:rsid w:val="00531C61"/>
    <w:rsid w:val="00532A8C"/>
    <w:rsid w:val="00532BCE"/>
    <w:rsid w:val="005343EF"/>
    <w:rsid w:val="00536B92"/>
    <w:rsid w:val="00542C34"/>
    <w:rsid w:val="00543242"/>
    <w:rsid w:val="0054448D"/>
    <w:rsid w:val="00545820"/>
    <w:rsid w:val="005468ED"/>
    <w:rsid w:val="00546C26"/>
    <w:rsid w:val="005568EA"/>
    <w:rsid w:val="00560FF2"/>
    <w:rsid w:val="00561186"/>
    <w:rsid w:val="005652E3"/>
    <w:rsid w:val="00570223"/>
    <w:rsid w:val="005721A1"/>
    <w:rsid w:val="00577DAE"/>
    <w:rsid w:val="005852D6"/>
    <w:rsid w:val="00586744"/>
    <w:rsid w:val="00586EBD"/>
    <w:rsid w:val="00593157"/>
    <w:rsid w:val="005936DD"/>
    <w:rsid w:val="00595153"/>
    <w:rsid w:val="005A1954"/>
    <w:rsid w:val="005A1D83"/>
    <w:rsid w:val="005A59BB"/>
    <w:rsid w:val="005A6FC9"/>
    <w:rsid w:val="005B3CC1"/>
    <w:rsid w:val="005D274F"/>
    <w:rsid w:val="005D6171"/>
    <w:rsid w:val="005E1A73"/>
    <w:rsid w:val="005F0701"/>
    <w:rsid w:val="005F14FC"/>
    <w:rsid w:val="005F22E9"/>
    <w:rsid w:val="006022B9"/>
    <w:rsid w:val="0060337F"/>
    <w:rsid w:val="00603BEC"/>
    <w:rsid w:val="0060545E"/>
    <w:rsid w:val="00610391"/>
    <w:rsid w:val="0061145E"/>
    <w:rsid w:val="00611FD1"/>
    <w:rsid w:val="006126EA"/>
    <w:rsid w:val="006129AE"/>
    <w:rsid w:val="00614C6E"/>
    <w:rsid w:val="006179FC"/>
    <w:rsid w:val="00617CD2"/>
    <w:rsid w:val="006240C7"/>
    <w:rsid w:val="006249F7"/>
    <w:rsid w:val="00626AE8"/>
    <w:rsid w:val="00631265"/>
    <w:rsid w:val="00632412"/>
    <w:rsid w:val="00634C88"/>
    <w:rsid w:val="006401CF"/>
    <w:rsid w:val="00641242"/>
    <w:rsid w:val="00646DF6"/>
    <w:rsid w:val="00652D58"/>
    <w:rsid w:val="006564C1"/>
    <w:rsid w:val="006609FC"/>
    <w:rsid w:val="00670A76"/>
    <w:rsid w:val="0068764C"/>
    <w:rsid w:val="00691BB9"/>
    <w:rsid w:val="0069632E"/>
    <w:rsid w:val="0069635F"/>
    <w:rsid w:val="006977A0"/>
    <w:rsid w:val="006B062C"/>
    <w:rsid w:val="006B49EC"/>
    <w:rsid w:val="006C61D7"/>
    <w:rsid w:val="006C7761"/>
    <w:rsid w:val="006D516C"/>
    <w:rsid w:val="006D77C4"/>
    <w:rsid w:val="006D7925"/>
    <w:rsid w:val="006E271B"/>
    <w:rsid w:val="006E328B"/>
    <w:rsid w:val="006F0E15"/>
    <w:rsid w:val="006F18DA"/>
    <w:rsid w:val="006F598D"/>
    <w:rsid w:val="006F70D2"/>
    <w:rsid w:val="006F7E6D"/>
    <w:rsid w:val="00703655"/>
    <w:rsid w:val="00705DC4"/>
    <w:rsid w:val="00710ACA"/>
    <w:rsid w:val="00710AD0"/>
    <w:rsid w:val="007128DD"/>
    <w:rsid w:val="0071366B"/>
    <w:rsid w:val="00720B93"/>
    <w:rsid w:val="00723CF1"/>
    <w:rsid w:val="007314A5"/>
    <w:rsid w:val="007341EC"/>
    <w:rsid w:val="00735AAD"/>
    <w:rsid w:val="0073698C"/>
    <w:rsid w:val="00736B4E"/>
    <w:rsid w:val="00736BD7"/>
    <w:rsid w:val="00737791"/>
    <w:rsid w:val="00737DEA"/>
    <w:rsid w:val="00742194"/>
    <w:rsid w:val="007423D7"/>
    <w:rsid w:val="007463AE"/>
    <w:rsid w:val="00750518"/>
    <w:rsid w:val="0076122E"/>
    <w:rsid w:val="007615BC"/>
    <w:rsid w:val="00762BFF"/>
    <w:rsid w:val="00764EFF"/>
    <w:rsid w:val="00774018"/>
    <w:rsid w:val="00774307"/>
    <w:rsid w:val="007829B8"/>
    <w:rsid w:val="00783351"/>
    <w:rsid w:val="00784C7D"/>
    <w:rsid w:val="00784EBE"/>
    <w:rsid w:val="00785F93"/>
    <w:rsid w:val="00786ADA"/>
    <w:rsid w:val="0079678A"/>
    <w:rsid w:val="007A085F"/>
    <w:rsid w:val="007A2F27"/>
    <w:rsid w:val="007A6244"/>
    <w:rsid w:val="007B6DD0"/>
    <w:rsid w:val="007C6772"/>
    <w:rsid w:val="007C7C37"/>
    <w:rsid w:val="007E3139"/>
    <w:rsid w:val="007E5E3E"/>
    <w:rsid w:val="007E6A92"/>
    <w:rsid w:val="007F02D5"/>
    <w:rsid w:val="007F03B2"/>
    <w:rsid w:val="007F17CE"/>
    <w:rsid w:val="007F18C0"/>
    <w:rsid w:val="007F4B64"/>
    <w:rsid w:val="007F6CC7"/>
    <w:rsid w:val="008009A7"/>
    <w:rsid w:val="00801371"/>
    <w:rsid w:val="00801BF4"/>
    <w:rsid w:val="00801E35"/>
    <w:rsid w:val="00815E7F"/>
    <w:rsid w:val="008167FD"/>
    <w:rsid w:val="00822B03"/>
    <w:rsid w:val="00823BEF"/>
    <w:rsid w:val="00826314"/>
    <w:rsid w:val="008266EB"/>
    <w:rsid w:val="00832C18"/>
    <w:rsid w:val="00834EDA"/>
    <w:rsid w:val="00835F80"/>
    <w:rsid w:val="00837799"/>
    <w:rsid w:val="00837D74"/>
    <w:rsid w:val="00840DF1"/>
    <w:rsid w:val="00851294"/>
    <w:rsid w:val="0085154D"/>
    <w:rsid w:val="00851C16"/>
    <w:rsid w:val="0085592A"/>
    <w:rsid w:val="00855C9C"/>
    <w:rsid w:val="00857699"/>
    <w:rsid w:val="008606AC"/>
    <w:rsid w:val="008615E1"/>
    <w:rsid w:val="00861EBA"/>
    <w:rsid w:val="00863D2C"/>
    <w:rsid w:val="0087569A"/>
    <w:rsid w:val="00875E92"/>
    <w:rsid w:val="00877410"/>
    <w:rsid w:val="0088043A"/>
    <w:rsid w:val="008833E2"/>
    <w:rsid w:val="008839F4"/>
    <w:rsid w:val="00883A2E"/>
    <w:rsid w:val="00886EE3"/>
    <w:rsid w:val="008A282F"/>
    <w:rsid w:val="008A5960"/>
    <w:rsid w:val="008A74D9"/>
    <w:rsid w:val="008B10EF"/>
    <w:rsid w:val="008B1BF7"/>
    <w:rsid w:val="008B1FC4"/>
    <w:rsid w:val="008C1FAA"/>
    <w:rsid w:val="008D08B8"/>
    <w:rsid w:val="008D2429"/>
    <w:rsid w:val="008D370A"/>
    <w:rsid w:val="008E5D7D"/>
    <w:rsid w:val="008F0773"/>
    <w:rsid w:val="008F402F"/>
    <w:rsid w:val="008F45D4"/>
    <w:rsid w:val="008F7FD2"/>
    <w:rsid w:val="009010AF"/>
    <w:rsid w:val="0090767D"/>
    <w:rsid w:val="00907927"/>
    <w:rsid w:val="00913015"/>
    <w:rsid w:val="00917714"/>
    <w:rsid w:val="00917B4C"/>
    <w:rsid w:val="0092332F"/>
    <w:rsid w:val="009257E0"/>
    <w:rsid w:val="00932B5A"/>
    <w:rsid w:val="00932F4F"/>
    <w:rsid w:val="00940204"/>
    <w:rsid w:val="00941D6D"/>
    <w:rsid w:val="00945E76"/>
    <w:rsid w:val="009501A3"/>
    <w:rsid w:val="0095241E"/>
    <w:rsid w:val="00953ACB"/>
    <w:rsid w:val="00953F19"/>
    <w:rsid w:val="00954940"/>
    <w:rsid w:val="00955336"/>
    <w:rsid w:val="00962555"/>
    <w:rsid w:val="00966C74"/>
    <w:rsid w:val="0096757F"/>
    <w:rsid w:val="00970078"/>
    <w:rsid w:val="009756A3"/>
    <w:rsid w:val="0097611A"/>
    <w:rsid w:val="00976DDD"/>
    <w:rsid w:val="0098773C"/>
    <w:rsid w:val="009A09C2"/>
    <w:rsid w:val="009A1603"/>
    <w:rsid w:val="009A618D"/>
    <w:rsid w:val="009B2E02"/>
    <w:rsid w:val="009B4515"/>
    <w:rsid w:val="009B5D07"/>
    <w:rsid w:val="009B7276"/>
    <w:rsid w:val="009C1943"/>
    <w:rsid w:val="009C281B"/>
    <w:rsid w:val="009C3669"/>
    <w:rsid w:val="009D1E61"/>
    <w:rsid w:val="009D2B82"/>
    <w:rsid w:val="009E059F"/>
    <w:rsid w:val="009E1CA1"/>
    <w:rsid w:val="009E4250"/>
    <w:rsid w:val="009E782C"/>
    <w:rsid w:val="00A009F5"/>
    <w:rsid w:val="00A0551A"/>
    <w:rsid w:val="00A10B53"/>
    <w:rsid w:val="00A1571D"/>
    <w:rsid w:val="00A21879"/>
    <w:rsid w:val="00A21E55"/>
    <w:rsid w:val="00A2246B"/>
    <w:rsid w:val="00A22EC4"/>
    <w:rsid w:val="00A26431"/>
    <w:rsid w:val="00A3199E"/>
    <w:rsid w:val="00A34731"/>
    <w:rsid w:val="00A371D1"/>
    <w:rsid w:val="00A457E5"/>
    <w:rsid w:val="00A5056D"/>
    <w:rsid w:val="00A53B32"/>
    <w:rsid w:val="00A55156"/>
    <w:rsid w:val="00A55D8F"/>
    <w:rsid w:val="00A5649A"/>
    <w:rsid w:val="00A61375"/>
    <w:rsid w:val="00A6552F"/>
    <w:rsid w:val="00A65D37"/>
    <w:rsid w:val="00A66829"/>
    <w:rsid w:val="00A77858"/>
    <w:rsid w:val="00A8460F"/>
    <w:rsid w:val="00A902DD"/>
    <w:rsid w:val="00AA4BF7"/>
    <w:rsid w:val="00AA5086"/>
    <w:rsid w:val="00AA54E0"/>
    <w:rsid w:val="00AA5FD8"/>
    <w:rsid w:val="00AA649B"/>
    <w:rsid w:val="00AB125C"/>
    <w:rsid w:val="00AB2A64"/>
    <w:rsid w:val="00AB39E5"/>
    <w:rsid w:val="00AB4372"/>
    <w:rsid w:val="00AB4710"/>
    <w:rsid w:val="00AB7C1D"/>
    <w:rsid w:val="00AC3B27"/>
    <w:rsid w:val="00AC51F8"/>
    <w:rsid w:val="00AC584C"/>
    <w:rsid w:val="00AD00FC"/>
    <w:rsid w:val="00AD5F1C"/>
    <w:rsid w:val="00AD6776"/>
    <w:rsid w:val="00AD6EB9"/>
    <w:rsid w:val="00AE01AA"/>
    <w:rsid w:val="00AE2F1E"/>
    <w:rsid w:val="00AE6495"/>
    <w:rsid w:val="00AE7506"/>
    <w:rsid w:val="00AF1D41"/>
    <w:rsid w:val="00AF2217"/>
    <w:rsid w:val="00AF3377"/>
    <w:rsid w:val="00AF439D"/>
    <w:rsid w:val="00AF7EB1"/>
    <w:rsid w:val="00B00F01"/>
    <w:rsid w:val="00B0147A"/>
    <w:rsid w:val="00B030F6"/>
    <w:rsid w:val="00B03D40"/>
    <w:rsid w:val="00B07AA2"/>
    <w:rsid w:val="00B103A0"/>
    <w:rsid w:val="00B26956"/>
    <w:rsid w:val="00B3528D"/>
    <w:rsid w:val="00B40196"/>
    <w:rsid w:val="00B41091"/>
    <w:rsid w:val="00B4217A"/>
    <w:rsid w:val="00B47183"/>
    <w:rsid w:val="00B47317"/>
    <w:rsid w:val="00B5003D"/>
    <w:rsid w:val="00B50CA0"/>
    <w:rsid w:val="00B50D73"/>
    <w:rsid w:val="00B523FD"/>
    <w:rsid w:val="00B5466B"/>
    <w:rsid w:val="00B65126"/>
    <w:rsid w:val="00B65A09"/>
    <w:rsid w:val="00B672AD"/>
    <w:rsid w:val="00B70BE4"/>
    <w:rsid w:val="00B7149F"/>
    <w:rsid w:val="00B72427"/>
    <w:rsid w:val="00B73C88"/>
    <w:rsid w:val="00B77CE9"/>
    <w:rsid w:val="00B80D6E"/>
    <w:rsid w:val="00B81903"/>
    <w:rsid w:val="00B81925"/>
    <w:rsid w:val="00B93DB3"/>
    <w:rsid w:val="00BA0ED0"/>
    <w:rsid w:val="00BA6804"/>
    <w:rsid w:val="00BA6A9B"/>
    <w:rsid w:val="00BB0F32"/>
    <w:rsid w:val="00BB196E"/>
    <w:rsid w:val="00BB4FE4"/>
    <w:rsid w:val="00BB5598"/>
    <w:rsid w:val="00BB55A2"/>
    <w:rsid w:val="00BB5C2B"/>
    <w:rsid w:val="00BB7853"/>
    <w:rsid w:val="00BC4937"/>
    <w:rsid w:val="00BD137A"/>
    <w:rsid w:val="00BD2D34"/>
    <w:rsid w:val="00BD61A7"/>
    <w:rsid w:val="00BE2E81"/>
    <w:rsid w:val="00BE411A"/>
    <w:rsid w:val="00BF36F8"/>
    <w:rsid w:val="00BF4C70"/>
    <w:rsid w:val="00C0001D"/>
    <w:rsid w:val="00C01614"/>
    <w:rsid w:val="00C058B7"/>
    <w:rsid w:val="00C120DA"/>
    <w:rsid w:val="00C20D51"/>
    <w:rsid w:val="00C252A8"/>
    <w:rsid w:val="00C27829"/>
    <w:rsid w:val="00C27AAF"/>
    <w:rsid w:val="00C313EE"/>
    <w:rsid w:val="00C35A29"/>
    <w:rsid w:val="00C414F6"/>
    <w:rsid w:val="00C456DE"/>
    <w:rsid w:val="00C45FEC"/>
    <w:rsid w:val="00C5285C"/>
    <w:rsid w:val="00C5399E"/>
    <w:rsid w:val="00C53E3E"/>
    <w:rsid w:val="00C540D8"/>
    <w:rsid w:val="00C54C50"/>
    <w:rsid w:val="00C56789"/>
    <w:rsid w:val="00C611A7"/>
    <w:rsid w:val="00C67399"/>
    <w:rsid w:val="00C7001B"/>
    <w:rsid w:val="00C74761"/>
    <w:rsid w:val="00C771B0"/>
    <w:rsid w:val="00C7726E"/>
    <w:rsid w:val="00C82C2F"/>
    <w:rsid w:val="00C85AC3"/>
    <w:rsid w:val="00C85D1D"/>
    <w:rsid w:val="00C860E0"/>
    <w:rsid w:val="00C873DF"/>
    <w:rsid w:val="00C934D2"/>
    <w:rsid w:val="00C9472D"/>
    <w:rsid w:val="00CA28AE"/>
    <w:rsid w:val="00CA3D3D"/>
    <w:rsid w:val="00CA5717"/>
    <w:rsid w:val="00CB5010"/>
    <w:rsid w:val="00CC32F6"/>
    <w:rsid w:val="00CD23A9"/>
    <w:rsid w:val="00CD3E82"/>
    <w:rsid w:val="00CD633F"/>
    <w:rsid w:val="00CD7780"/>
    <w:rsid w:val="00CE4524"/>
    <w:rsid w:val="00CE5A1C"/>
    <w:rsid w:val="00D01983"/>
    <w:rsid w:val="00D01B15"/>
    <w:rsid w:val="00D026D7"/>
    <w:rsid w:val="00D0488E"/>
    <w:rsid w:val="00D04D5E"/>
    <w:rsid w:val="00D05F42"/>
    <w:rsid w:val="00D1068A"/>
    <w:rsid w:val="00D12061"/>
    <w:rsid w:val="00D14993"/>
    <w:rsid w:val="00D225DF"/>
    <w:rsid w:val="00D25CE6"/>
    <w:rsid w:val="00D419C4"/>
    <w:rsid w:val="00D43F92"/>
    <w:rsid w:val="00D51DE9"/>
    <w:rsid w:val="00D52778"/>
    <w:rsid w:val="00D56518"/>
    <w:rsid w:val="00D5692A"/>
    <w:rsid w:val="00D57E76"/>
    <w:rsid w:val="00D60048"/>
    <w:rsid w:val="00D62853"/>
    <w:rsid w:val="00D62F73"/>
    <w:rsid w:val="00D643F0"/>
    <w:rsid w:val="00D645E1"/>
    <w:rsid w:val="00D6488D"/>
    <w:rsid w:val="00D6776F"/>
    <w:rsid w:val="00D747A1"/>
    <w:rsid w:val="00D75AEF"/>
    <w:rsid w:val="00D77E18"/>
    <w:rsid w:val="00D81ACA"/>
    <w:rsid w:val="00D82551"/>
    <w:rsid w:val="00D834BD"/>
    <w:rsid w:val="00D8504B"/>
    <w:rsid w:val="00D862CF"/>
    <w:rsid w:val="00D864A9"/>
    <w:rsid w:val="00D87185"/>
    <w:rsid w:val="00D912AB"/>
    <w:rsid w:val="00D96A31"/>
    <w:rsid w:val="00D97AB3"/>
    <w:rsid w:val="00DA3A5E"/>
    <w:rsid w:val="00DA40DB"/>
    <w:rsid w:val="00DA491D"/>
    <w:rsid w:val="00DA5A19"/>
    <w:rsid w:val="00DA62DA"/>
    <w:rsid w:val="00DB506A"/>
    <w:rsid w:val="00DB52BF"/>
    <w:rsid w:val="00DB6D25"/>
    <w:rsid w:val="00DB79CA"/>
    <w:rsid w:val="00DC0879"/>
    <w:rsid w:val="00DC503D"/>
    <w:rsid w:val="00DC5AAB"/>
    <w:rsid w:val="00DD1DBF"/>
    <w:rsid w:val="00DD280A"/>
    <w:rsid w:val="00DD6732"/>
    <w:rsid w:val="00DD7337"/>
    <w:rsid w:val="00DE32D2"/>
    <w:rsid w:val="00DF0F36"/>
    <w:rsid w:val="00DF3FD9"/>
    <w:rsid w:val="00E00E92"/>
    <w:rsid w:val="00E05B09"/>
    <w:rsid w:val="00E0629D"/>
    <w:rsid w:val="00E13B7A"/>
    <w:rsid w:val="00E1700A"/>
    <w:rsid w:val="00E20DE7"/>
    <w:rsid w:val="00E21B75"/>
    <w:rsid w:val="00E25098"/>
    <w:rsid w:val="00E255CA"/>
    <w:rsid w:val="00E27599"/>
    <w:rsid w:val="00E3223F"/>
    <w:rsid w:val="00E33228"/>
    <w:rsid w:val="00E35C20"/>
    <w:rsid w:val="00E362F8"/>
    <w:rsid w:val="00E3681D"/>
    <w:rsid w:val="00E36F53"/>
    <w:rsid w:val="00E41A70"/>
    <w:rsid w:val="00E4676F"/>
    <w:rsid w:val="00E568C5"/>
    <w:rsid w:val="00E6023B"/>
    <w:rsid w:val="00E61E32"/>
    <w:rsid w:val="00E634A2"/>
    <w:rsid w:val="00E654AB"/>
    <w:rsid w:val="00E6608D"/>
    <w:rsid w:val="00E70B59"/>
    <w:rsid w:val="00E7171F"/>
    <w:rsid w:val="00E72813"/>
    <w:rsid w:val="00E7329C"/>
    <w:rsid w:val="00E733C0"/>
    <w:rsid w:val="00E73BEF"/>
    <w:rsid w:val="00E74093"/>
    <w:rsid w:val="00E76EB3"/>
    <w:rsid w:val="00E80C8D"/>
    <w:rsid w:val="00E9463E"/>
    <w:rsid w:val="00E97D39"/>
    <w:rsid w:val="00EB4E37"/>
    <w:rsid w:val="00EB670F"/>
    <w:rsid w:val="00EB7798"/>
    <w:rsid w:val="00EC001C"/>
    <w:rsid w:val="00EC068E"/>
    <w:rsid w:val="00ED2943"/>
    <w:rsid w:val="00ED520A"/>
    <w:rsid w:val="00EE010E"/>
    <w:rsid w:val="00EE15C8"/>
    <w:rsid w:val="00EE7201"/>
    <w:rsid w:val="00EE74B7"/>
    <w:rsid w:val="00EF2F09"/>
    <w:rsid w:val="00EF38AF"/>
    <w:rsid w:val="00EF6407"/>
    <w:rsid w:val="00F01ABD"/>
    <w:rsid w:val="00F021AD"/>
    <w:rsid w:val="00F0368F"/>
    <w:rsid w:val="00F0646E"/>
    <w:rsid w:val="00F10D0F"/>
    <w:rsid w:val="00F11234"/>
    <w:rsid w:val="00F12554"/>
    <w:rsid w:val="00F158FF"/>
    <w:rsid w:val="00F17361"/>
    <w:rsid w:val="00F22925"/>
    <w:rsid w:val="00F446D4"/>
    <w:rsid w:val="00F47E67"/>
    <w:rsid w:val="00F502EC"/>
    <w:rsid w:val="00F55B04"/>
    <w:rsid w:val="00F55E6E"/>
    <w:rsid w:val="00F61E47"/>
    <w:rsid w:val="00F678D2"/>
    <w:rsid w:val="00F80495"/>
    <w:rsid w:val="00F8086A"/>
    <w:rsid w:val="00F85A64"/>
    <w:rsid w:val="00F85C0A"/>
    <w:rsid w:val="00F87810"/>
    <w:rsid w:val="00F87CB6"/>
    <w:rsid w:val="00F93374"/>
    <w:rsid w:val="00F9743F"/>
    <w:rsid w:val="00FA1032"/>
    <w:rsid w:val="00FA463E"/>
    <w:rsid w:val="00FA4696"/>
    <w:rsid w:val="00FB3DB1"/>
    <w:rsid w:val="00FC0551"/>
    <w:rsid w:val="00FD06F9"/>
    <w:rsid w:val="00FD29F8"/>
    <w:rsid w:val="00FD5C73"/>
    <w:rsid w:val="00FD790F"/>
    <w:rsid w:val="00FD7B33"/>
    <w:rsid w:val="00FE29BE"/>
    <w:rsid w:val="00FE3538"/>
    <w:rsid w:val="00FE480E"/>
    <w:rsid w:val="00FE4F84"/>
    <w:rsid w:val="00FE6E6A"/>
    <w:rsid w:val="00FF29F9"/>
    <w:rsid w:val="012D74FD"/>
    <w:rsid w:val="01460296"/>
    <w:rsid w:val="01A205A0"/>
    <w:rsid w:val="01B110AA"/>
    <w:rsid w:val="01D134FA"/>
    <w:rsid w:val="020E69AE"/>
    <w:rsid w:val="0270772A"/>
    <w:rsid w:val="02827BE5"/>
    <w:rsid w:val="02A114CA"/>
    <w:rsid w:val="02DB05B8"/>
    <w:rsid w:val="03BB05C7"/>
    <w:rsid w:val="03E10731"/>
    <w:rsid w:val="03E30206"/>
    <w:rsid w:val="04300CF9"/>
    <w:rsid w:val="04680B0A"/>
    <w:rsid w:val="04CF3D20"/>
    <w:rsid w:val="04FC3B5A"/>
    <w:rsid w:val="0529714B"/>
    <w:rsid w:val="05493B8F"/>
    <w:rsid w:val="05560B0F"/>
    <w:rsid w:val="056D5A1A"/>
    <w:rsid w:val="05FE0BC2"/>
    <w:rsid w:val="061301E2"/>
    <w:rsid w:val="065D259E"/>
    <w:rsid w:val="066F0C0D"/>
    <w:rsid w:val="06A861F4"/>
    <w:rsid w:val="06E177EF"/>
    <w:rsid w:val="06FC1B39"/>
    <w:rsid w:val="092B5255"/>
    <w:rsid w:val="09551386"/>
    <w:rsid w:val="09616305"/>
    <w:rsid w:val="09627CE6"/>
    <w:rsid w:val="098A11CB"/>
    <w:rsid w:val="099C6D23"/>
    <w:rsid w:val="09AA1EEB"/>
    <w:rsid w:val="0AB37E5D"/>
    <w:rsid w:val="0AC7322F"/>
    <w:rsid w:val="0AF9353D"/>
    <w:rsid w:val="0B233797"/>
    <w:rsid w:val="0B275F39"/>
    <w:rsid w:val="0B375515"/>
    <w:rsid w:val="0B6B1E99"/>
    <w:rsid w:val="0C15198A"/>
    <w:rsid w:val="0C9D0B20"/>
    <w:rsid w:val="0CEF2D90"/>
    <w:rsid w:val="0D06189F"/>
    <w:rsid w:val="0D0A2225"/>
    <w:rsid w:val="0D3D1A44"/>
    <w:rsid w:val="0D5B442D"/>
    <w:rsid w:val="0D706590"/>
    <w:rsid w:val="0DA111B9"/>
    <w:rsid w:val="0DEB46D1"/>
    <w:rsid w:val="0E0662D9"/>
    <w:rsid w:val="0E2C144A"/>
    <w:rsid w:val="0E7C74C1"/>
    <w:rsid w:val="0EB27AC1"/>
    <w:rsid w:val="0EFC33C4"/>
    <w:rsid w:val="10030D5F"/>
    <w:rsid w:val="1068327B"/>
    <w:rsid w:val="107E0A68"/>
    <w:rsid w:val="10BB7361"/>
    <w:rsid w:val="10D75718"/>
    <w:rsid w:val="11377CCA"/>
    <w:rsid w:val="126F5BEF"/>
    <w:rsid w:val="128336CC"/>
    <w:rsid w:val="128A5333"/>
    <w:rsid w:val="129F535D"/>
    <w:rsid w:val="1361717C"/>
    <w:rsid w:val="137868FB"/>
    <w:rsid w:val="1385099B"/>
    <w:rsid w:val="13E66F15"/>
    <w:rsid w:val="14A41DFC"/>
    <w:rsid w:val="15167C7E"/>
    <w:rsid w:val="15406CDA"/>
    <w:rsid w:val="15964527"/>
    <w:rsid w:val="15C138B6"/>
    <w:rsid w:val="15D0346C"/>
    <w:rsid w:val="163602F9"/>
    <w:rsid w:val="169D2DDC"/>
    <w:rsid w:val="17AF544B"/>
    <w:rsid w:val="17FC0372"/>
    <w:rsid w:val="18C179CD"/>
    <w:rsid w:val="18D33A39"/>
    <w:rsid w:val="18E71257"/>
    <w:rsid w:val="191A00CD"/>
    <w:rsid w:val="194A1770"/>
    <w:rsid w:val="19650F36"/>
    <w:rsid w:val="196A0DCC"/>
    <w:rsid w:val="196D503A"/>
    <w:rsid w:val="19716262"/>
    <w:rsid w:val="198703DE"/>
    <w:rsid w:val="19B246A2"/>
    <w:rsid w:val="19B6704B"/>
    <w:rsid w:val="19B92E98"/>
    <w:rsid w:val="19E06627"/>
    <w:rsid w:val="1A06549A"/>
    <w:rsid w:val="1A646862"/>
    <w:rsid w:val="1AAF2090"/>
    <w:rsid w:val="1B51083A"/>
    <w:rsid w:val="1BF90F14"/>
    <w:rsid w:val="1BFE6EF5"/>
    <w:rsid w:val="1C984EE8"/>
    <w:rsid w:val="1CA71BE0"/>
    <w:rsid w:val="1CFD2A80"/>
    <w:rsid w:val="1D19047B"/>
    <w:rsid w:val="1D5736F3"/>
    <w:rsid w:val="1DC5272D"/>
    <w:rsid w:val="1E247023"/>
    <w:rsid w:val="1EE354BE"/>
    <w:rsid w:val="1EF12F35"/>
    <w:rsid w:val="202B1BD0"/>
    <w:rsid w:val="20457243"/>
    <w:rsid w:val="204F7BC9"/>
    <w:rsid w:val="206801A4"/>
    <w:rsid w:val="20916DE6"/>
    <w:rsid w:val="21514033"/>
    <w:rsid w:val="21AF455D"/>
    <w:rsid w:val="21D60DEC"/>
    <w:rsid w:val="223D15F2"/>
    <w:rsid w:val="23A32035"/>
    <w:rsid w:val="241A33A2"/>
    <w:rsid w:val="243279D1"/>
    <w:rsid w:val="246A5641"/>
    <w:rsid w:val="24924B81"/>
    <w:rsid w:val="24AC7BCC"/>
    <w:rsid w:val="24AE2C07"/>
    <w:rsid w:val="24DD54C5"/>
    <w:rsid w:val="257824A5"/>
    <w:rsid w:val="25C70E6B"/>
    <w:rsid w:val="26312560"/>
    <w:rsid w:val="26E12F73"/>
    <w:rsid w:val="26E60E81"/>
    <w:rsid w:val="27AE44D5"/>
    <w:rsid w:val="27BB6F40"/>
    <w:rsid w:val="27D52010"/>
    <w:rsid w:val="27D751CD"/>
    <w:rsid w:val="28374059"/>
    <w:rsid w:val="286D1FFA"/>
    <w:rsid w:val="287501EA"/>
    <w:rsid w:val="288330EC"/>
    <w:rsid w:val="2935379B"/>
    <w:rsid w:val="299236D3"/>
    <w:rsid w:val="29AF4869"/>
    <w:rsid w:val="29BD0681"/>
    <w:rsid w:val="29E27272"/>
    <w:rsid w:val="2A1740DD"/>
    <w:rsid w:val="2A756BFF"/>
    <w:rsid w:val="2A8131D0"/>
    <w:rsid w:val="2B6B36DF"/>
    <w:rsid w:val="2B922BD8"/>
    <w:rsid w:val="2BA2009E"/>
    <w:rsid w:val="2BAE57DA"/>
    <w:rsid w:val="2C103440"/>
    <w:rsid w:val="2C376616"/>
    <w:rsid w:val="2C6010CE"/>
    <w:rsid w:val="2CA82E25"/>
    <w:rsid w:val="2CDC58D2"/>
    <w:rsid w:val="2D37297D"/>
    <w:rsid w:val="2DBA164E"/>
    <w:rsid w:val="2E6D147E"/>
    <w:rsid w:val="2EAC48A7"/>
    <w:rsid w:val="2EC35BB1"/>
    <w:rsid w:val="2F123F97"/>
    <w:rsid w:val="2FC57C35"/>
    <w:rsid w:val="2FD1626B"/>
    <w:rsid w:val="2FD84C52"/>
    <w:rsid w:val="30551817"/>
    <w:rsid w:val="305A4C4D"/>
    <w:rsid w:val="3098483F"/>
    <w:rsid w:val="31591391"/>
    <w:rsid w:val="319D58E7"/>
    <w:rsid w:val="323779AC"/>
    <w:rsid w:val="335336C1"/>
    <w:rsid w:val="338402C4"/>
    <w:rsid w:val="34136FD9"/>
    <w:rsid w:val="3434509F"/>
    <w:rsid w:val="345A27B4"/>
    <w:rsid w:val="34D41A4E"/>
    <w:rsid w:val="35001BE6"/>
    <w:rsid w:val="35692E58"/>
    <w:rsid w:val="35941302"/>
    <w:rsid w:val="359F6F8F"/>
    <w:rsid w:val="364572F9"/>
    <w:rsid w:val="36BF2046"/>
    <w:rsid w:val="3704282B"/>
    <w:rsid w:val="38957B7A"/>
    <w:rsid w:val="38A26297"/>
    <w:rsid w:val="3910579F"/>
    <w:rsid w:val="39821825"/>
    <w:rsid w:val="3A7E7113"/>
    <w:rsid w:val="3A920C54"/>
    <w:rsid w:val="3AA82343"/>
    <w:rsid w:val="3ABC5202"/>
    <w:rsid w:val="3AFA07B3"/>
    <w:rsid w:val="3B035449"/>
    <w:rsid w:val="3B265BA6"/>
    <w:rsid w:val="3B620AB0"/>
    <w:rsid w:val="3B85198C"/>
    <w:rsid w:val="3BC202CF"/>
    <w:rsid w:val="3C1B0F3F"/>
    <w:rsid w:val="3C3240EE"/>
    <w:rsid w:val="3CF012A4"/>
    <w:rsid w:val="3CF462EE"/>
    <w:rsid w:val="3DDF7964"/>
    <w:rsid w:val="3E1F70B5"/>
    <w:rsid w:val="3E3E778E"/>
    <w:rsid w:val="3E845F10"/>
    <w:rsid w:val="3EBE149D"/>
    <w:rsid w:val="3EEA4CD8"/>
    <w:rsid w:val="3F060CF1"/>
    <w:rsid w:val="3F2127C2"/>
    <w:rsid w:val="3F361678"/>
    <w:rsid w:val="3F3852D7"/>
    <w:rsid w:val="3F561C89"/>
    <w:rsid w:val="3F585260"/>
    <w:rsid w:val="3FA7433D"/>
    <w:rsid w:val="4120631A"/>
    <w:rsid w:val="41246A78"/>
    <w:rsid w:val="41936044"/>
    <w:rsid w:val="41980015"/>
    <w:rsid w:val="41C60882"/>
    <w:rsid w:val="42024562"/>
    <w:rsid w:val="421156A9"/>
    <w:rsid w:val="426B577E"/>
    <w:rsid w:val="428A1DFB"/>
    <w:rsid w:val="42E204B3"/>
    <w:rsid w:val="42E36295"/>
    <w:rsid w:val="435857B7"/>
    <w:rsid w:val="43B05EC8"/>
    <w:rsid w:val="441260EB"/>
    <w:rsid w:val="44746CD1"/>
    <w:rsid w:val="45124F88"/>
    <w:rsid w:val="45335E81"/>
    <w:rsid w:val="4566284F"/>
    <w:rsid w:val="470F5357"/>
    <w:rsid w:val="477D32AC"/>
    <w:rsid w:val="48407793"/>
    <w:rsid w:val="484B3711"/>
    <w:rsid w:val="484C6A1E"/>
    <w:rsid w:val="48515F5F"/>
    <w:rsid w:val="48C518F7"/>
    <w:rsid w:val="494C0610"/>
    <w:rsid w:val="498864AA"/>
    <w:rsid w:val="49D22F38"/>
    <w:rsid w:val="49E97FD0"/>
    <w:rsid w:val="4A471933"/>
    <w:rsid w:val="4AED2C47"/>
    <w:rsid w:val="4B1E2118"/>
    <w:rsid w:val="4B58121B"/>
    <w:rsid w:val="4B8037DF"/>
    <w:rsid w:val="4BAA1FEE"/>
    <w:rsid w:val="4BFF0BF2"/>
    <w:rsid w:val="4C5665F7"/>
    <w:rsid w:val="4C7F267A"/>
    <w:rsid w:val="4CA40B7C"/>
    <w:rsid w:val="4CB044A3"/>
    <w:rsid w:val="4D5E7DEA"/>
    <w:rsid w:val="4DDA23BB"/>
    <w:rsid w:val="4E01329B"/>
    <w:rsid w:val="4E026C01"/>
    <w:rsid w:val="4E086F29"/>
    <w:rsid w:val="4E240C38"/>
    <w:rsid w:val="4E36559D"/>
    <w:rsid w:val="4E3F7ACB"/>
    <w:rsid w:val="4E511278"/>
    <w:rsid w:val="4E800A7B"/>
    <w:rsid w:val="4F29503E"/>
    <w:rsid w:val="4F510E04"/>
    <w:rsid w:val="4F7D76DC"/>
    <w:rsid w:val="4FD63829"/>
    <w:rsid w:val="505D4B2E"/>
    <w:rsid w:val="50823C97"/>
    <w:rsid w:val="508F14FC"/>
    <w:rsid w:val="50D245DB"/>
    <w:rsid w:val="510925B1"/>
    <w:rsid w:val="512A38DD"/>
    <w:rsid w:val="51E647B2"/>
    <w:rsid w:val="522876D4"/>
    <w:rsid w:val="525168AB"/>
    <w:rsid w:val="525C3CE7"/>
    <w:rsid w:val="528470C1"/>
    <w:rsid w:val="52C67491"/>
    <w:rsid w:val="536C7507"/>
    <w:rsid w:val="5382152B"/>
    <w:rsid w:val="53926E3F"/>
    <w:rsid w:val="542363A5"/>
    <w:rsid w:val="54880FEC"/>
    <w:rsid w:val="54C34B34"/>
    <w:rsid w:val="55357513"/>
    <w:rsid w:val="55E47223"/>
    <w:rsid w:val="55F436FD"/>
    <w:rsid w:val="55FC04CF"/>
    <w:rsid w:val="56226FF5"/>
    <w:rsid w:val="56EE05BE"/>
    <w:rsid w:val="56F34B2E"/>
    <w:rsid w:val="57284C6E"/>
    <w:rsid w:val="573E620B"/>
    <w:rsid w:val="580F20F7"/>
    <w:rsid w:val="58877BE5"/>
    <w:rsid w:val="59021E2E"/>
    <w:rsid w:val="596041FA"/>
    <w:rsid w:val="59B15629"/>
    <w:rsid w:val="59BA4845"/>
    <w:rsid w:val="5A204372"/>
    <w:rsid w:val="5AEE6A24"/>
    <w:rsid w:val="5B835E40"/>
    <w:rsid w:val="5BAF2A8B"/>
    <w:rsid w:val="5BC5314E"/>
    <w:rsid w:val="5BDE7F12"/>
    <w:rsid w:val="5C0E333F"/>
    <w:rsid w:val="5CCC3817"/>
    <w:rsid w:val="5D5D6DF6"/>
    <w:rsid w:val="5D7100CA"/>
    <w:rsid w:val="5DC42AF8"/>
    <w:rsid w:val="5DF33E64"/>
    <w:rsid w:val="5ECC2FAE"/>
    <w:rsid w:val="5EE523C5"/>
    <w:rsid w:val="5EE712BD"/>
    <w:rsid w:val="5F1B4A85"/>
    <w:rsid w:val="5FC00498"/>
    <w:rsid w:val="6062071A"/>
    <w:rsid w:val="60E215D3"/>
    <w:rsid w:val="60F44446"/>
    <w:rsid w:val="60F577E0"/>
    <w:rsid w:val="611D2893"/>
    <w:rsid w:val="622B51DA"/>
    <w:rsid w:val="62753852"/>
    <w:rsid w:val="6280757E"/>
    <w:rsid w:val="62AD6054"/>
    <w:rsid w:val="62C4572F"/>
    <w:rsid w:val="6319191C"/>
    <w:rsid w:val="635C0942"/>
    <w:rsid w:val="63CB7A57"/>
    <w:rsid w:val="643E7C43"/>
    <w:rsid w:val="64653442"/>
    <w:rsid w:val="64D074F6"/>
    <w:rsid w:val="658A3D5D"/>
    <w:rsid w:val="659E1662"/>
    <w:rsid w:val="65A80752"/>
    <w:rsid w:val="664F2F93"/>
    <w:rsid w:val="667C62E4"/>
    <w:rsid w:val="670047E9"/>
    <w:rsid w:val="67A565CB"/>
    <w:rsid w:val="67D73DCC"/>
    <w:rsid w:val="68222052"/>
    <w:rsid w:val="6848003D"/>
    <w:rsid w:val="68BD32C5"/>
    <w:rsid w:val="68D0418D"/>
    <w:rsid w:val="693A3912"/>
    <w:rsid w:val="69CA4289"/>
    <w:rsid w:val="69E2061B"/>
    <w:rsid w:val="6A445923"/>
    <w:rsid w:val="6B1230E4"/>
    <w:rsid w:val="6B171C73"/>
    <w:rsid w:val="6B2F3686"/>
    <w:rsid w:val="6B3864AC"/>
    <w:rsid w:val="6B4726CD"/>
    <w:rsid w:val="6BCE1B9D"/>
    <w:rsid w:val="6C225786"/>
    <w:rsid w:val="6C2E4A93"/>
    <w:rsid w:val="6C573827"/>
    <w:rsid w:val="6D3671B7"/>
    <w:rsid w:val="6D5853A3"/>
    <w:rsid w:val="6D6E30CD"/>
    <w:rsid w:val="6D7A0162"/>
    <w:rsid w:val="6DAA1953"/>
    <w:rsid w:val="6DF67582"/>
    <w:rsid w:val="6E336FDF"/>
    <w:rsid w:val="6E371D5C"/>
    <w:rsid w:val="6E4010EC"/>
    <w:rsid w:val="6E7D4E70"/>
    <w:rsid w:val="6EB83BFB"/>
    <w:rsid w:val="6F736C77"/>
    <w:rsid w:val="6FC6730D"/>
    <w:rsid w:val="70384806"/>
    <w:rsid w:val="712E3D47"/>
    <w:rsid w:val="7198341E"/>
    <w:rsid w:val="71F94C1F"/>
    <w:rsid w:val="72083267"/>
    <w:rsid w:val="72177C97"/>
    <w:rsid w:val="72192FF4"/>
    <w:rsid w:val="72480213"/>
    <w:rsid w:val="72723668"/>
    <w:rsid w:val="72CD6C68"/>
    <w:rsid w:val="733F625E"/>
    <w:rsid w:val="737305B5"/>
    <w:rsid w:val="74621AC4"/>
    <w:rsid w:val="747E5112"/>
    <w:rsid w:val="74AF6EE1"/>
    <w:rsid w:val="74F3158F"/>
    <w:rsid w:val="74F47121"/>
    <w:rsid w:val="75D902EB"/>
    <w:rsid w:val="75F25C45"/>
    <w:rsid w:val="767C38E1"/>
    <w:rsid w:val="767F1F2B"/>
    <w:rsid w:val="77EF4B32"/>
    <w:rsid w:val="77F57040"/>
    <w:rsid w:val="77F62430"/>
    <w:rsid w:val="78102DF3"/>
    <w:rsid w:val="788B412F"/>
    <w:rsid w:val="78A52D19"/>
    <w:rsid w:val="78DE1D7A"/>
    <w:rsid w:val="78F114B6"/>
    <w:rsid w:val="790002CF"/>
    <w:rsid w:val="799E4F0C"/>
    <w:rsid w:val="79ED63B3"/>
    <w:rsid w:val="7A6D18A6"/>
    <w:rsid w:val="7A765676"/>
    <w:rsid w:val="7A7E7B23"/>
    <w:rsid w:val="7BAA1821"/>
    <w:rsid w:val="7BE35BBA"/>
    <w:rsid w:val="7BEA463D"/>
    <w:rsid w:val="7C7D5ECF"/>
    <w:rsid w:val="7C7F522C"/>
    <w:rsid w:val="7C990310"/>
    <w:rsid w:val="7DA103B5"/>
    <w:rsid w:val="7DEB61E8"/>
    <w:rsid w:val="7E355D74"/>
    <w:rsid w:val="7E457E8B"/>
    <w:rsid w:val="7E9D03B1"/>
    <w:rsid w:val="7EC070B5"/>
    <w:rsid w:val="7ECD3F57"/>
    <w:rsid w:val="7F320C7A"/>
    <w:rsid w:val="7FC34CA0"/>
    <w:rsid w:val="7FED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2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26"/>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0"/>
    <w:unhideWhenUsed/>
    <w:qFormat/>
    <w:uiPriority w:val="9"/>
    <w:pPr>
      <w:keepNext/>
      <w:keepLines/>
      <w:outlineLvl w:val="2"/>
    </w:pPr>
    <w:rPr>
      <w:b/>
      <w:bCs/>
      <w:szCs w:val="32"/>
    </w:rPr>
  </w:style>
  <w:style w:type="paragraph" w:styleId="5">
    <w:name w:val="heading 4"/>
    <w:basedOn w:val="1"/>
    <w:next w:val="1"/>
    <w:link w:val="31"/>
    <w:unhideWhenUsed/>
    <w:qFormat/>
    <w:uiPriority w:val="9"/>
    <w:pPr>
      <w:keepNext/>
      <w:keepLines/>
      <w:spacing w:before="280" w:after="290" w:line="376" w:lineRule="auto"/>
      <w:outlineLvl w:val="3"/>
    </w:pPr>
    <w:rPr>
      <w:rFonts w:cs="仿宋_GB2312"/>
      <w:b/>
      <w:kern w:val="10"/>
      <w:szCs w:val="28"/>
    </w:rPr>
  </w:style>
  <w:style w:type="paragraph" w:styleId="6">
    <w:name w:val="heading 6"/>
    <w:basedOn w:val="1"/>
    <w:next w:val="1"/>
    <w:unhideWhenUsed/>
    <w:qFormat/>
    <w:uiPriority w:val="0"/>
    <w:pPr>
      <w:keepNext/>
      <w:keepLines/>
      <w:tabs>
        <w:tab w:val="left" w:pos="1151"/>
      </w:tabs>
      <w:spacing w:before="240" w:after="64" w:line="320" w:lineRule="auto"/>
      <w:ind w:left="1151" w:hanging="1151"/>
      <w:outlineLvl w:val="5"/>
    </w:pPr>
    <w:rPr>
      <w:rFonts w:ascii="Cambria" w:hAnsi="Cambria"/>
      <w:b/>
      <w:bC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semiHidden/>
    <w:unhideWhenUsed/>
    <w:qFormat/>
    <w:uiPriority w:val="99"/>
    <w:pPr>
      <w:ind w:left="420" w:leftChars="200"/>
    </w:p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toa heading"/>
    <w:basedOn w:val="1"/>
    <w:next w:val="1"/>
    <w:semiHidden/>
    <w:unhideWhenUsed/>
    <w:qFormat/>
    <w:uiPriority w:val="99"/>
    <w:pPr>
      <w:spacing w:before="120"/>
    </w:pPr>
    <w:rPr>
      <w:rFonts w:ascii="Arial" w:hAnsi="Arial"/>
      <w:sz w:val="24"/>
    </w:rPr>
  </w:style>
  <w:style w:type="paragraph" w:styleId="10">
    <w:name w:val="annotation text"/>
    <w:basedOn w:val="1"/>
    <w:link w:val="34"/>
    <w:unhideWhenUsed/>
    <w:qFormat/>
    <w:uiPriority w:val="99"/>
    <w:pPr>
      <w:jc w:val="left"/>
    </w:pPr>
  </w:style>
  <w:style w:type="paragraph" w:styleId="11">
    <w:name w:val="Body Text"/>
    <w:basedOn w:val="1"/>
    <w:next w:val="1"/>
    <w:qFormat/>
    <w:uiPriority w:val="99"/>
    <w:rPr>
      <w:rFonts w:cs="Times New Roman"/>
      <w:szCs w:val="21"/>
    </w:rPr>
  </w:style>
  <w:style w:type="paragraph" w:styleId="12">
    <w:name w:val="toc 3"/>
    <w:basedOn w:val="1"/>
    <w:next w:val="1"/>
    <w:unhideWhenUsed/>
    <w:qFormat/>
    <w:uiPriority w:val="39"/>
    <w:pPr>
      <w:ind w:left="840" w:leftChars="400"/>
    </w:pPr>
  </w:style>
  <w:style w:type="paragraph" w:styleId="13">
    <w:name w:val="Balloon Text"/>
    <w:basedOn w:val="1"/>
    <w:link w:val="32"/>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tabs>
        <w:tab w:val="right" w:leader="dot" w:pos="8296"/>
      </w:tabs>
      <w:ind w:firstLine="0" w:firstLineChars="0"/>
    </w:pPr>
    <w:rPr>
      <w:rFonts w:hAnsi="宋体"/>
      <w:b/>
      <w:bCs/>
    </w:rPr>
  </w:style>
  <w:style w:type="paragraph" w:styleId="17">
    <w:name w:val="toc 2"/>
    <w:basedOn w:val="1"/>
    <w:next w:val="1"/>
    <w:unhideWhenUsed/>
    <w:qFormat/>
    <w:uiPriority w:val="39"/>
    <w:pPr>
      <w:tabs>
        <w:tab w:val="right" w:leader="dot" w:pos="8296"/>
      </w:tabs>
      <w:ind w:left="560" w:leftChars="200" w:firstLine="0" w:firstLineChars="0"/>
    </w:pPr>
  </w:style>
  <w:style w:type="paragraph" w:styleId="18">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9">
    <w:name w:val="annotation subject"/>
    <w:basedOn w:val="10"/>
    <w:next w:val="10"/>
    <w:link w:val="3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标题 1 字符"/>
    <w:basedOn w:val="22"/>
    <w:link w:val="2"/>
    <w:qFormat/>
    <w:uiPriority w:val="9"/>
    <w:rPr>
      <w:rFonts w:ascii="黑体" w:hAnsi="黑体" w:eastAsia="黑体"/>
      <w:b/>
      <w:bCs/>
      <w:kern w:val="44"/>
      <w:sz w:val="32"/>
      <w:szCs w:val="44"/>
    </w:rPr>
  </w:style>
  <w:style w:type="character" w:customStyle="1" w:styleId="26">
    <w:name w:val="标题 2 字符"/>
    <w:basedOn w:val="22"/>
    <w:link w:val="3"/>
    <w:qFormat/>
    <w:uiPriority w:val="9"/>
    <w:rPr>
      <w:rFonts w:ascii="楷体" w:hAnsi="楷体" w:eastAsia="楷体" w:cstheme="majorBidi"/>
      <w:b/>
      <w:bCs/>
      <w:sz w:val="32"/>
      <w:szCs w:val="32"/>
    </w:rPr>
  </w:style>
  <w:style w:type="paragraph" w:styleId="27">
    <w:name w:val="List Paragraph"/>
    <w:basedOn w:val="1"/>
    <w:qFormat/>
    <w:uiPriority w:val="34"/>
    <w:pPr>
      <w:ind w:firstLine="420"/>
    </w:pPr>
  </w:style>
  <w:style w:type="character" w:customStyle="1" w:styleId="28">
    <w:name w:val="页眉 字符"/>
    <w:basedOn w:val="22"/>
    <w:link w:val="15"/>
    <w:qFormat/>
    <w:uiPriority w:val="99"/>
    <w:rPr>
      <w:rFonts w:ascii="仿宋_GB2312" w:hAnsi="仿宋_GB2312" w:eastAsia="仿宋_GB2312"/>
      <w:sz w:val="18"/>
      <w:szCs w:val="18"/>
    </w:rPr>
  </w:style>
  <w:style w:type="character" w:customStyle="1" w:styleId="29">
    <w:name w:val="页脚 字符"/>
    <w:basedOn w:val="22"/>
    <w:link w:val="14"/>
    <w:qFormat/>
    <w:uiPriority w:val="99"/>
    <w:rPr>
      <w:rFonts w:ascii="仿宋_GB2312" w:hAnsi="仿宋_GB2312" w:eastAsia="仿宋_GB2312"/>
      <w:sz w:val="18"/>
      <w:szCs w:val="18"/>
    </w:rPr>
  </w:style>
  <w:style w:type="character" w:customStyle="1" w:styleId="30">
    <w:name w:val="标题 3 字符"/>
    <w:basedOn w:val="22"/>
    <w:link w:val="4"/>
    <w:qFormat/>
    <w:uiPriority w:val="9"/>
    <w:rPr>
      <w:rFonts w:ascii="仿宋_GB2312" w:hAnsi="仿宋_GB2312" w:eastAsia="仿宋_GB2312"/>
      <w:b/>
      <w:bCs/>
      <w:sz w:val="28"/>
      <w:szCs w:val="32"/>
    </w:rPr>
  </w:style>
  <w:style w:type="character" w:customStyle="1" w:styleId="31">
    <w:name w:val="标题 4 字符"/>
    <w:basedOn w:val="22"/>
    <w:link w:val="5"/>
    <w:qFormat/>
    <w:uiPriority w:val="9"/>
    <w:rPr>
      <w:rFonts w:ascii="仿宋_GB2312" w:hAnsi="仿宋_GB2312" w:eastAsia="仿宋_GB2312" w:cs="仿宋_GB2312"/>
      <w:b/>
      <w:kern w:val="10"/>
      <w:sz w:val="28"/>
      <w:szCs w:val="28"/>
    </w:rPr>
  </w:style>
  <w:style w:type="character" w:customStyle="1" w:styleId="32">
    <w:name w:val="批注框文本 字符"/>
    <w:basedOn w:val="22"/>
    <w:link w:val="13"/>
    <w:semiHidden/>
    <w:qFormat/>
    <w:uiPriority w:val="99"/>
    <w:rPr>
      <w:rFonts w:ascii="仿宋_GB2312" w:hAnsi="仿宋_GB2312" w:eastAsia="仿宋_GB2312"/>
      <w:sz w:val="18"/>
      <w:szCs w:val="18"/>
    </w:rPr>
  </w:style>
  <w:style w:type="paragraph" w:customStyle="1" w:styleId="3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4">
    <w:name w:val="批注文字 字符"/>
    <w:basedOn w:val="22"/>
    <w:link w:val="10"/>
    <w:qFormat/>
    <w:uiPriority w:val="99"/>
    <w:rPr>
      <w:rFonts w:ascii="仿宋_GB2312" w:hAnsi="仿宋_GB2312" w:eastAsia="仿宋_GB2312" w:cstheme="minorBidi"/>
      <w:kern w:val="2"/>
      <w:sz w:val="28"/>
      <w:szCs w:val="22"/>
    </w:rPr>
  </w:style>
  <w:style w:type="character" w:customStyle="1" w:styleId="35">
    <w:name w:val="批注主题 字符"/>
    <w:basedOn w:val="34"/>
    <w:link w:val="19"/>
    <w:semiHidden/>
    <w:qFormat/>
    <w:uiPriority w:val="99"/>
    <w:rPr>
      <w:rFonts w:ascii="仿宋_GB2312" w:hAnsi="仿宋_GB2312" w:eastAsia="仿宋_GB2312" w:cstheme="minorBidi"/>
      <w:b/>
      <w:bCs/>
      <w:kern w:val="2"/>
      <w:sz w:val="28"/>
      <w:szCs w:val="22"/>
    </w:rPr>
  </w:style>
  <w:style w:type="paragraph" w:customStyle="1" w:styleId="36">
    <w:name w:val="修订1"/>
    <w:hidden/>
    <w:semiHidden/>
    <w:qFormat/>
    <w:uiPriority w:val="99"/>
    <w:rPr>
      <w:rFonts w:ascii="仿宋_GB2312" w:hAnsi="仿宋_GB2312" w:eastAsia="仿宋_GB2312" w:cstheme="minorBidi"/>
      <w:kern w:val="2"/>
      <w:sz w:val="28"/>
      <w:szCs w:val="22"/>
      <w:lang w:val="en-US" w:eastAsia="zh-CN" w:bidi="ar-SA"/>
    </w:rPr>
  </w:style>
  <w:style w:type="character" w:customStyle="1" w:styleId="37">
    <w:name w:val="font11"/>
    <w:basedOn w:val="22"/>
    <w:qFormat/>
    <w:uiPriority w:val="0"/>
    <w:rPr>
      <w:rFonts w:hint="eastAsia" w:ascii="宋体" w:hAnsi="宋体" w:eastAsia="宋体" w:cs="宋体"/>
      <w:color w:val="000000"/>
      <w:sz w:val="21"/>
      <w:szCs w:val="21"/>
      <w:u w:val="none"/>
    </w:rPr>
  </w:style>
  <w:style w:type="character" w:customStyle="1" w:styleId="38">
    <w:name w:val="font51"/>
    <w:basedOn w:val="22"/>
    <w:qFormat/>
    <w:uiPriority w:val="0"/>
    <w:rPr>
      <w:rFonts w:hint="eastAsia" w:ascii="宋体" w:hAnsi="宋体" w:eastAsia="宋体" w:cs="宋体"/>
      <w:color w:val="000000"/>
      <w:sz w:val="21"/>
      <w:szCs w:val="21"/>
      <w:u w:val="none"/>
    </w:rPr>
  </w:style>
  <w:style w:type="character" w:customStyle="1" w:styleId="39">
    <w:name w:val="font31"/>
    <w:basedOn w:val="22"/>
    <w:qFormat/>
    <w:uiPriority w:val="0"/>
    <w:rPr>
      <w:rFonts w:hint="eastAsia" w:ascii="宋体" w:hAnsi="宋体" w:eastAsia="宋体" w:cs="宋体"/>
      <w:color w:val="000000"/>
      <w:sz w:val="21"/>
      <w:szCs w:val="21"/>
      <w:u w:val="none"/>
    </w:rPr>
  </w:style>
  <w:style w:type="character" w:customStyle="1" w:styleId="40">
    <w:name w:val="font21"/>
    <w:basedOn w:val="22"/>
    <w:qFormat/>
    <w:uiPriority w:val="0"/>
    <w:rPr>
      <w:rFonts w:hint="eastAsia" w:ascii="宋体" w:hAnsi="宋体" w:eastAsia="宋体"/>
      <w:color w:val="000000"/>
      <w:sz w:val="21"/>
      <w:szCs w:val="21"/>
      <w:u w:val="none"/>
    </w:rPr>
  </w:style>
  <w:style w:type="paragraph" w:customStyle="1" w:styleId="41">
    <w:name w:val="修订2"/>
    <w:hidden/>
    <w:semiHidden/>
    <w:qFormat/>
    <w:uiPriority w:val="99"/>
    <w:rPr>
      <w:rFonts w:ascii="仿宋_GB2312" w:hAnsi="仿宋_GB2312" w:eastAsia="仿宋_GB2312" w:cstheme="minorBidi"/>
      <w:kern w:val="2"/>
      <w:sz w:val="28"/>
      <w:szCs w:val="22"/>
      <w:lang w:val="en-US" w:eastAsia="zh-CN" w:bidi="ar-SA"/>
    </w:rPr>
  </w:style>
  <w:style w:type="character" w:customStyle="1" w:styleId="42">
    <w:name w:val="font01"/>
    <w:basedOn w:val="22"/>
    <w:qFormat/>
    <w:uiPriority w:val="0"/>
    <w:rPr>
      <w:rFonts w:ascii="东文宋体" w:hAnsi="东文宋体" w:eastAsia="东文宋体" w:cs="东文宋体"/>
      <w:color w:val="000000"/>
      <w:sz w:val="18"/>
      <w:szCs w:val="18"/>
      <w:u w:val="none"/>
    </w:rPr>
  </w:style>
  <w:style w:type="character" w:customStyle="1" w:styleId="43">
    <w:name w:val="font41"/>
    <w:basedOn w:val="22"/>
    <w:qFormat/>
    <w:uiPriority w:val="0"/>
    <w:rPr>
      <w:rFonts w:hint="eastAsia" w:ascii="宋体" w:hAnsi="宋体" w:eastAsia="宋体" w:cs="宋体"/>
      <w:color w:val="000000"/>
      <w:sz w:val="18"/>
      <w:szCs w:val="18"/>
      <w:u w:val="none"/>
    </w:rPr>
  </w:style>
  <w:style w:type="paragraph" w:customStyle="1" w:styleId="44">
    <w:name w:val="Revision"/>
    <w:hidden/>
    <w:semiHidden/>
    <w:qFormat/>
    <w:uiPriority w:val="99"/>
    <w:rPr>
      <w:rFonts w:ascii="仿宋_GB2312" w:hAnsi="仿宋_GB2312" w:eastAsia="仿宋_GB2312"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USER-20191114YM\Desktop\&#30465;&#22996;&#23459;&#20256;&#37096;&#2999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[工作簿2]Sheet1!$F$5</c:f>
              <c:strCache>
                <c:ptCount val="1"/>
                <c:pt idx="0">
                  <c:v>预算数</c:v>
                </c:pt>
              </c:strCache>
            </c:strRef>
          </c:tx>
          <c:spPr>
            <a:ln w="22225" cap="rnd" cmpd="sng" algn="ctr">
              <a:solidFill>
                <a:schemeClr val="accent1"/>
              </a:solidFill>
              <a:round/>
            </a:ln>
            <a:effectLst/>
          </c:spPr>
          <c:marker>
            <c:symbol val="none"/>
          </c:marker>
          <c:dLbls>
            <c:dLbl>
              <c:idx val="0"/>
              <c:layout>
                <c:manualLayout>
                  <c:x val="-0.0895833333333333"/>
                  <c:y val="0.07986111111111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2083333333333"/>
                  <c:y val="0.10069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6666666666667"/>
                  <c:y val="0.02430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[工作簿2]Sheet1!$E$6:$E$8</c:f>
              <c:strCache>
                <c:ptCount val="3"/>
                <c:pt idx="0">
                  <c:v>2019年</c:v>
                </c:pt>
                <c:pt idx="1">
                  <c:v>2020年</c:v>
                </c:pt>
                <c:pt idx="2">
                  <c:v>2021年</c:v>
                </c:pt>
              </c:strCache>
            </c:strRef>
          </c:cat>
          <c:val>
            <c:numRef>
              <c:f>[工作簿2]Sheet1!$F$6:$F$8</c:f>
              <c:numCache>
                <c:formatCode>0.00_ </c:formatCode>
                <c:ptCount val="3"/>
                <c:pt idx="0">
                  <c:v>412.8</c:v>
                </c:pt>
                <c:pt idx="1" c:formatCode="General">
                  <c:v>395.85</c:v>
                </c:pt>
                <c:pt idx="2" c:formatCode="General">
                  <c:v>291.82</c:v>
                </c:pt>
              </c:numCache>
            </c:numRef>
          </c:val>
          <c:smooth val="0"/>
        </c:ser>
        <c:ser>
          <c:idx val="1"/>
          <c:order val="1"/>
          <c:tx>
            <c:strRef>
              <c:f>[工作簿2]Sheet1!$G$5</c:f>
              <c:strCache>
                <c:ptCount val="1"/>
                <c:pt idx="0">
                  <c:v>统计数</c:v>
                </c:pt>
              </c:strCache>
            </c:strRef>
          </c:tx>
          <c:spPr>
            <a:ln w="22225" cap="rnd" cmpd="sng" algn="ctr">
              <a:solidFill>
                <a:schemeClr val="accent2"/>
              </a:solidFill>
              <a:round/>
            </a:ln>
            <a:effectLst/>
          </c:spPr>
          <c:marker>
            <c:symbol val="none"/>
          </c:marker>
          <c:dLbls>
            <c:dLbl>
              <c:idx val="0"/>
              <c:layout>
                <c:manualLayout>
                  <c:x val="-0.0229166666666667"/>
                  <c:y val="-0.07291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45833333333333"/>
                  <c:y val="-0.093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4166666666667"/>
                  <c:y val="-0.06944444444444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[工作簿2]Sheet1!$E$6:$E$8</c:f>
              <c:strCache>
                <c:ptCount val="3"/>
                <c:pt idx="0">
                  <c:v>2019年</c:v>
                </c:pt>
                <c:pt idx="1">
                  <c:v>2020年</c:v>
                </c:pt>
                <c:pt idx="2">
                  <c:v>2021年</c:v>
                </c:pt>
              </c:strCache>
            </c:strRef>
          </c:cat>
          <c:val>
            <c:numRef>
              <c:f>[工作簿2]Sheet1!$G$6:$G$8</c:f>
              <c:numCache>
                <c:formatCode>General</c:formatCode>
                <c:ptCount val="3"/>
                <c:pt idx="0">
                  <c:v>98.93</c:v>
                </c:pt>
                <c:pt idx="1">
                  <c:v>32.77</c:v>
                </c:pt>
                <c:pt idx="2">
                  <c:v>18.73</c:v>
                </c:pt>
              </c:numCache>
            </c:numRef>
          </c:val>
          <c:smooth val="0"/>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0"/>
        <c:smooth val="0"/>
        <c:axId val="112802181"/>
        <c:axId val="48336106"/>
      </c:lineChart>
      <c:catAx>
        <c:axId val="112802181"/>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1" i="0" u="none" strike="noStrike" kern="1200" spc="2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48336106"/>
        <c:crosses val="autoZero"/>
        <c:auto val="1"/>
        <c:lblAlgn val="ctr"/>
        <c:lblOffset val="100"/>
        <c:noMultiLvlLbl val="0"/>
      </c:catAx>
      <c:valAx>
        <c:axId val="48336106"/>
        <c:scaling>
          <c:orientation val="minMax"/>
        </c:scaling>
        <c:delete val="0"/>
        <c:axPos val="l"/>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spc="2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112802181"/>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sz="900"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[省委宣传部用表.xlsx]Sheet1!$F$25</c:f>
              <c:strCache>
                <c:ptCount val="1"/>
                <c:pt idx="0">
                  <c:v>结转结余资金</c:v>
                </c:pt>
              </c:strCache>
            </c:strRef>
          </c:tx>
          <c:spPr>
            <a:ln w="22225" cap="rnd" cmpd="sng" algn="ctr">
              <a:solidFill>
                <a:schemeClr val="accent1"/>
              </a:solidFill>
              <a:round/>
            </a:ln>
            <a:effectLst/>
          </c:spPr>
          <c:marker>
            <c:symbol val="none"/>
          </c:marker>
          <c:dLbls>
            <c:dLbl>
              <c:idx val="0"/>
              <c:layout>
                <c:manualLayout>
                  <c:x val="-0.0583333333333333"/>
                  <c:y val="0.09027777777777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4166666666667"/>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[省委宣传部用表.xlsx]Sheet1!$E$26:$E$28</c:f>
              <c:strCache>
                <c:ptCount val="3"/>
                <c:pt idx="0">
                  <c:v>2019年</c:v>
                </c:pt>
                <c:pt idx="1">
                  <c:v>2020年</c:v>
                </c:pt>
                <c:pt idx="2">
                  <c:v>2021年</c:v>
                </c:pt>
              </c:strCache>
            </c:strRef>
          </c:cat>
          <c:val>
            <c:numRef>
              <c:f>[省委宣传部用表.xlsx]Sheet1!$F$26:$F$28</c:f>
              <c:numCache>
                <c:formatCode>General</c:formatCode>
                <c:ptCount val="3"/>
                <c:pt idx="0">
                  <c:v>2400.44</c:v>
                </c:pt>
                <c:pt idx="1">
                  <c:v>3022.56</c:v>
                </c:pt>
                <c:pt idx="2">
                  <c:v>2998.91</c:v>
                </c:pt>
              </c:numCache>
            </c:numRef>
          </c:val>
          <c:smooth val="0"/>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0"/>
        <c:smooth val="0"/>
        <c:axId val="194599474"/>
        <c:axId val="371441014"/>
      </c:lineChart>
      <c:catAx>
        <c:axId val="194599474"/>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1" i="0" u="none" strike="noStrike" kern="1200" spc="2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371441014"/>
        <c:crosses val="autoZero"/>
        <c:auto val="1"/>
        <c:lblAlgn val="ctr"/>
        <c:lblOffset val="100"/>
        <c:noMultiLvlLbl val="0"/>
      </c:catAx>
      <c:valAx>
        <c:axId val="371441014"/>
        <c:scaling>
          <c:orientation val="minMax"/>
          <c:min val="2000"/>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spc="20" baseline="0">
                <a:solidFill>
                  <a:schemeClr val="dk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194599474"/>
        <c:crosses val="autoZero"/>
        <c:crossBetween val="between"/>
        <c:majorUnit val="500"/>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sz="900" b="1">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B64AB-EF99-4381-9248-93A311950CB9}">
  <ds:schemaRefs/>
</ds:datastoreItem>
</file>

<file path=docProps/app.xml><?xml version="1.0" encoding="utf-8"?>
<Properties xmlns="http://schemas.openxmlformats.org/officeDocument/2006/extended-properties" xmlns:vt="http://schemas.openxmlformats.org/officeDocument/2006/docPropsVTypes">
  <Template>Normal.dotm</Template>
  <Pages>250</Pages>
  <Words>110876</Words>
  <Characters>125099</Characters>
  <Lines>1021</Lines>
  <Paragraphs>287</Paragraphs>
  <TotalTime>19</TotalTime>
  <ScaleCrop>false</ScaleCrop>
  <LinksUpToDate>false</LinksUpToDate>
  <CharactersWithSpaces>126102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2020-05-13T03:24:00Z</dcterms:created>
  <dc:creator>腊梅</dc:creator>
  <cp:lastModifiedBy>Administrator</cp:lastModifiedBy>
  <cp:lastPrinted>2022-03-14T07:34:41Z</cp:lastPrinted>
  <dcterms:modified xsi:type="dcterms:W3CDTF">2022-03-14T07:38:47Z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CED2D5055A8D4838941D1BEF4CA969FC</vt:lpwstr>
  </property>
</Properties>
</file>