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textAlignment w:val="auto"/>
        <w:rPr>
          <w:rFonts w:hint="eastAsia" w:ascii="仿宋_GB2312" w:hAnsi="仿宋_GB2312" w:eastAsia="仿宋_GB2312" w:cs="仿宋_GB2312"/>
          <w:b/>
          <w:bCs/>
          <w:color w:val="auto"/>
          <w:sz w:val="44"/>
          <w:szCs w:val="44"/>
          <w:lang w:val="en-US" w:eastAsia="zh-CN"/>
        </w:rPr>
      </w:pPr>
      <w:r>
        <w:rPr>
          <w:rFonts w:hint="eastAsia" w:cs="仿宋_GB2312"/>
          <w:b/>
          <w:bCs/>
          <w:color w:val="auto"/>
          <w:sz w:val="44"/>
          <w:szCs w:val="44"/>
          <w:lang w:val="en-US" w:eastAsia="zh-CN"/>
        </w:rPr>
        <w:t xml:space="preserve">                                 </w:t>
      </w:r>
      <w:bookmarkStart w:id="87" w:name="_GoBack"/>
      <w:bookmarkEnd w:id="87"/>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rPr>
        <w:t>202</w:t>
      </w:r>
      <w:r>
        <w:rPr>
          <w:rFonts w:hint="eastAsia" w:ascii="仿宋_GB2312" w:hAnsi="仿宋_GB2312" w:eastAsia="仿宋_GB2312" w:cs="仿宋_GB2312"/>
          <w:b/>
          <w:bCs/>
          <w:color w:val="auto"/>
          <w:sz w:val="44"/>
          <w:szCs w:val="44"/>
          <w:lang w:val="en-US" w:eastAsia="zh-CN"/>
        </w:rPr>
        <w:t>5</w:t>
      </w:r>
      <w:r>
        <w:rPr>
          <w:rFonts w:hint="eastAsia" w:ascii="仿宋_GB2312" w:hAnsi="仿宋_GB2312" w:eastAsia="仿宋_GB2312" w:cs="仿宋_GB2312"/>
          <w:b/>
          <w:bCs/>
          <w:color w:val="auto"/>
          <w:sz w:val="44"/>
          <w:szCs w:val="44"/>
        </w:rPr>
        <w:t>年度中共甘肃省委宣传部</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rPr>
        <w:t>预算执行情况绩效自评报告</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883"/>
        <w:jc w:val="center"/>
        <w:textAlignment w:val="auto"/>
        <w:rPr>
          <w:rFonts w:hint="eastAsia" w:ascii="仿宋_GB2312" w:hAnsi="仿宋_GB2312" w:eastAsia="仿宋_GB2312" w:cs="仿宋_GB2312"/>
          <w:b/>
          <w:bCs/>
          <w:color w:val="auto"/>
          <w:sz w:val="44"/>
          <w:szCs w:val="4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p>
    <w:p>
      <w:pPr>
        <w:pStyle w:val="19"/>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b/>
          <w:bCs/>
          <w:color w:val="auto"/>
          <w:sz w:val="32"/>
          <w:szCs w:val="32"/>
        </w:rPr>
      </w:pPr>
    </w:p>
    <w:p>
      <w:pPr>
        <w:pStyle w:val="19"/>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b/>
          <w:bCs/>
          <w:color w:val="auto"/>
          <w:sz w:val="32"/>
          <w:szCs w:val="32"/>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中共甘肃省委宣传部</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202</w:t>
      </w:r>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bCs/>
          <w:color w:val="auto"/>
          <w:sz w:val="32"/>
          <w:szCs w:val="32"/>
        </w:rPr>
        <w:t>年</w:t>
      </w:r>
      <w:r>
        <w:rPr>
          <w:rFonts w:hint="eastAsia" w:cs="仿宋_GB2312"/>
          <w:b/>
          <w:bCs/>
          <w:color w:val="auto"/>
          <w:sz w:val="32"/>
          <w:szCs w:val="32"/>
          <w:lang w:val="en-US" w:eastAsia="zh-CN"/>
        </w:rPr>
        <w:t>4</w:t>
      </w:r>
      <w:r>
        <w:rPr>
          <w:rFonts w:hint="eastAsia" w:ascii="仿宋_GB2312" w:hAnsi="仿宋_GB2312" w:eastAsia="仿宋_GB2312" w:cs="仿宋_GB2312"/>
          <w:b/>
          <w:bCs/>
          <w:color w:val="auto"/>
          <w:sz w:val="32"/>
          <w:szCs w:val="32"/>
        </w:rPr>
        <w:t>月</w:t>
      </w:r>
      <w:r>
        <w:rPr>
          <w:rFonts w:hint="eastAsia" w:cs="仿宋_GB2312"/>
          <w:b/>
          <w:bCs/>
          <w:color w:val="auto"/>
          <w:sz w:val="32"/>
          <w:szCs w:val="32"/>
          <w:lang w:val="en-US" w:eastAsia="zh-CN"/>
        </w:rPr>
        <w:t>20</w:t>
      </w:r>
      <w:r>
        <w:rPr>
          <w:rFonts w:hint="eastAsia" w:ascii="仿宋_GB2312" w:hAnsi="仿宋_GB2312" w:eastAsia="仿宋_GB2312" w:cs="仿宋_GB2312"/>
          <w:b/>
          <w:bCs/>
          <w:color w:val="auto"/>
          <w:sz w:val="32"/>
          <w:szCs w:val="32"/>
        </w:rPr>
        <w:t>日</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p>
    <w:sdt>
      <w:sdtPr>
        <w:rPr>
          <w:rFonts w:hint="eastAsia" w:ascii="仿宋_GB2312" w:hAnsi="仿宋_GB2312" w:eastAsia="仿宋_GB2312" w:cs="仿宋_GB2312"/>
          <w:color w:val="auto"/>
          <w:kern w:val="2"/>
          <w:sz w:val="28"/>
          <w:szCs w:val="22"/>
          <w:lang w:val="zh-CN"/>
        </w:rPr>
        <w:id w:val="-435986753"/>
        <w:docPartObj>
          <w:docPartGallery w:val="Table of Contents"/>
          <w:docPartUnique/>
        </w:docPartObj>
      </w:sdtPr>
      <w:sdtEndPr>
        <w:rPr>
          <w:rFonts w:hint="eastAsia" w:ascii="仿宋_GB2312" w:hAnsi="仿宋_GB2312" w:eastAsia="仿宋_GB2312" w:cs="仿宋_GB2312"/>
          <w:b/>
          <w:bCs/>
          <w:color w:val="FF0000"/>
          <w:kern w:val="2"/>
          <w:sz w:val="28"/>
          <w:szCs w:val="22"/>
          <w:lang w:val="zh-CN"/>
        </w:rPr>
      </w:sdtEndPr>
      <w:sdtContent>
        <w:p>
          <w:pPr>
            <w:pStyle w:val="40"/>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jc w:val="center"/>
            <w:textAlignment w:val="auto"/>
            <w:rPr>
              <w:rFonts w:hint="eastAsia" w:ascii="仿宋_GB2312" w:hAnsi="仿宋_GB2312" w:eastAsia="仿宋_GB2312" w:cs="仿宋_GB2312"/>
              <w:b/>
              <w:bCs/>
              <w:color w:val="auto"/>
            </w:rPr>
          </w:pPr>
          <w:r>
            <w:rPr>
              <w:rFonts w:hint="eastAsia" w:ascii="仿宋_GB2312" w:hAnsi="仿宋_GB2312" w:eastAsia="仿宋_GB2312" w:cs="仿宋_GB2312"/>
              <w:b/>
              <w:bCs/>
              <w:color w:val="auto"/>
              <w:sz w:val="28"/>
              <w:szCs w:val="28"/>
              <w:lang w:val="zh-CN"/>
            </w:rPr>
            <w:t>目</w:t>
          </w:r>
          <w:r>
            <w:rPr>
              <w:rFonts w:hint="eastAsia" w:ascii="仿宋_GB2312" w:hAnsi="仿宋_GB2312" w:eastAsia="仿宋_GB2312" w:cs="仿宋_GB2312"/>
              <w:b/>
              <w:bCs/>
              <w:color w:val="auto"/>
              <w:sz w:val="28"/>
              <w:szCs w:val="28"/>
            </w:rPr>
            <w:t xml:space="preserve">  </w:t>
          </w:r>
          <w:r>
            <w:rPr>
              <w:rFonts w:hint="eastAsia" w:ascii="仿宋_GB2312" w:hAnsi="仿宋_GB2312" w:eastAsia="仿宋_GB2312" w:cs="仿宋_GB2312"/>
              <w:b/>
              <w:bCs/>
              <w:color w:val="auto"/>
              <w:sz w:val="28"/>
              <w:szCs w:val="28"/>
              <w:lang w:val="zh-CN"/>
            </w:rPr>
            <w:t>录</w:t>
          </w:r>
        </w:p>
        <w:p>
          <w:pPr>
            <w:pStyle w:val="2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8306"/>
              <w:tab w:val="clear" w:pos="8296"/>
            </w:tabs>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TOC \o "1-2" \h \u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_Toc8812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一、基本情况</w:t>
          </w:r>
          <w:r>
            <w:rPr>
              <w:rFonts w:hint="eastAsia" w:ascii="仿宋_GB2312" w:hAnsi="仿宋_GB2312" w:eastAsia="仿宋_GB2312" w:cs="仿宋_GB2312"/>
              <w:color w:val="auto"/>
              <w:highlight w:val="none"/>
            </w:rPr>
            <w:tab/>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PAGEREF _Toc8812 \h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- 3 -</w:t>
          </w:r>
          <w:r>
            <w:rPr>
              <w:rFonts w:hint="eastAsia" w:ascii="仿宋_GB2312" w:hAnsi="仿宋_GB2312" w:eastAsia="仿宋_GB2312" w:cs="仿宋_GB2312"/>
              <w:color w:val="auto"/>
              <w:highlight w:val="none"/>
            </w:rPr>
            <w:fldChar w:fldCharType="end"/>
          </w:r>
          <w:r>
            <w:rPr>
              <w:rFonts w:hint="eastAsia" w:ascii="仿宋_GB2312" w:hAnsi="仿宋_GB2312" w:eastAsia="仿宋_GB2312" w:cs="仿宋_GB2312"/>
              <w:color w:val="auto"/>
              <w:highlight w:val="none"/>
            </w:rPr>
            <w:fldChar w:fldCharType="end"/>
          </w:r>
        </w:p>
        <w:p>
          <w:pPr>
            <w:pStyle w:val="2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8306"/>
              <w:tab w:val="clear" w:pos="8296"/>
            </w:tabs>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_Toc31117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二、绩效自评工作组织开展情况</w:t>
          </w:r>
          <w:r>
            <w:rPr>
              <w:rFonts w:hint="eastAsia" w:ascii="仿宋_GB2312" w:hAnsi="仿宋_GB2312" w:eastAsia="仿宋_GB2312" w:cs="仿宋_GB2312"/>
              <w:color w:val="auto"/>
              <w:highlight w:val="none"/>
            </w:rPr>
            <w:tab/>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PAGEREF _Toc31117 \h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- 3 -</w:t>
          </w:r>
          <w:r>
            <w:rPr>
              <w:rFonts w:hint="eastAsia" w:ascii="仿宋_GB2312" w:hAnsi="仿宋_GB2312" w:eastAsia="仿宋_GB2312" w:cs="仿宋_GB2312"/>
              <w:color w:val="auto"/>
              <w:highlight w:val="none"/>
            </w:rPr>
            <w:fldChar w:fldCharType="end"/>
          </w:r>
          <w:r>
            <w:rPr>
              <w:rFonts w:hint="eastAsia" w:ascii="仿宋_GB2312" w:hAnsi="仿宋_GB2312" w:eastAsia="仿宋_GB2312" w:cs="仿宋_GB2312"/>
              <w:color w:val="auto"/>
              <w:highlight w:val="none"/>
            </w:rPr>
            <w:fldChar w:fldCharType="end"/>
          </w:r>
        </w:p>
        <w:p>
          <w:pPr>
            <w:pStyle w:val="2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8306"/>
              <w:tab w:val="clear" w:pos="8296"/>
            </w:tabs>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_Toc23932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三、部门整体支出绩效自评情况分析</w:t>
          </w:r>
          <w:r>
            <w:rPr>
              <w:rFonts w:hint="eastAsia" w:ascii="仿宋_GB2312" w:hAnsi="仿宋_GB2312" w:eastAsia="仿宋_GB2312" w:cs="仿宋_GB2312"/>
              <w:color w:val="auto"/>
              <w:highlight w:val="none"/>
            </w:rPr>
            <w:tab/>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PAGEREF _Toc23932 \h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- 6 -</w:t>
          </w:r>
          <w:r>
            <w:rPr>
              <w:rFonts w:hint="eastAsia" w:ascii="仿宋_GB2312" w:hAnsi="仿宋_GB2312" w:eastAsia="仿宋_GB2312" w:cs="仿宋_GB2312"/>
              <w:color w:val="auto"/>
              <w:highlight w:val="none"/>
            </w:rPr>
            <w:fldChar w:fldCharType="end"/>
          </w:r>
          <w:r>
            <w:rPr>
              <w:rFonts w:hint="eastAsia" w:ascii="仿宋_GB2312" w:hAnsi="仿宋_GB2312" w:eastAsia="仿宋_GB2312" w:cs="仿宋_GB2312"/>
              <w:color w:val="auto"/>
              <w:highlight w:val="none"/>
            </w:rPr>
            <w:fldChar w:fldCharType="end"/>
          </w:r>
        </w:p>
        <w:p>
          <w:pPr>
            <w:pStyle w:val="2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8306"/>
              <w:tab w:val="clear" w:pos="8296"/>
            </w:tabs>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_Toc2228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四、部门预算项目支出绩效自评情况分析</w:t>
          </w:r>
          <w:r>
            <w:rPr>
              <w:rFonts w:hint="eastAsia" w:ascii="仿宋_GB2312" w:hAnsi="仿宋_GB2312" w:eastAsia="仿宋_GB2312" w:cs="仿宋_GB2312"/>
              <w:color w:val="auto"/>
              <w:highlight w:val="none"/>
            </w:rPr>
            <w:tab/>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PAGEREF _Toc2228 \h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- 32 -</w:t>
          </w:r>
          <w:r>
            <w:rPr>
              <w:rFonts w:hint="eastAsia" w:ascii="仿宋_GB2312" w:hAnsi="仿宋_GB2312" w:eastAsia="仿宋_GB2312" w:cs="仿宋_GB2312"/>
              <w:color w:val="auto"/>
              <w:highlight w:val="none"/>
            </w:rPr>
            <w:fldChar w:fldCharType="end"/>
          </w:r>
          <w:r>
            <w:rPr>
              <w:rFonts w:hint="eastAsia" w:ascii="仿宋_GB2312" w:hAnsi="仿宋_GB2312" w:eastAsia="仿宋_GB2312" w:cs="仿宋_GB2312"/>
              <w:color w:val="auto"/>
              <w:highlight w:val="none"/>
            </w:rPr>
            <w:fldChar w:fldCharType="end"/>
          </w:r>
        </w:p>
        <w:p>
          <w:pPr>
            <w:pStyle w:val="2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8306"/>
              <w:tab w:val="clear" w:pos="8296"/>
            </w:tabs>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_Toc15820 </w:instrText>
          </w:r>
          <w:r>
            <w:rPr>
              <w:rFonts w:hint="eastAsia" w:ascii="仿宋_GB2312" w:hAnsi="仿宋_GB2312" w:eastAsia="仿宋_GB2312" w:cs="仿宋_GB2312"/>
              <w:color w:val="auto"/>
              <w:highlight w:val="none"/>
            </w:rPr>
            <w:fldChar w:fldCharType="separate"/>
          </w:r>
          <w:r>
            <w:rPr>
              <w:rFonts w:hint="eastAsia" w:hAnsi="仿宋_GB2312" w:cs="仿宋_GB2312"/>
              <w:color w:val="auto"/>
              <w:highlight w:val="none"/>
              <w:lang w:val="en-US" w:eastAsia="zh-CN"/>
            </w:rPr>
            <w:t>五</w:t>
          </w:r>
          <w:r>
            <w:rPr>
              <w:rFonts w:hint="eastAsia" w:ascii="仿宋_GB2312" w:hAnsi="仿宋_GB2312" w:eastAsia="仿宋_GB2312" w:cs="仿宋_GB2312"/>
              <w:color w:val="auto"/>
              <w:highlight w:val="none"/>
            </w:rPr>
            <w:t>、绩效自评结果拟应用和公开情况</w:t>
          </w:r>
          <w:r>
            <w:rPr>
              <w:rFonts w:hint="eastAsia" w:ascii="仿宋_GB2312" w:hAnsi="仿宋_GB2312" w:eastAsia="仿宋_GB2312" w:cs="仿宋_GB2312"/>
              <w:color w:val="auto"/>
              <w:highlight w:val="none"/>
            </w:rPr>
            <w:tab/>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PAGEREF _Toc15820 \h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- 99 -</w:t>
          </w:r>
          <w:r>
            <w:rPr>
              <w:rFonts w:hint="eastAsia" w:ascii="仿宋_GB2312" w:hAnsi="仿宋_GB2312" w:eastAsia="仿宋_GB2312" w:cs="仿宋_GB2312"/>
              <w:color w:val="auto"/>
              <w:highlight w:val="none"/>
            </w:rPr>
            <w:fldChar w:fldCharType="end"/>
          </w:r>
          <w:r>
            <w:rPr>
              <w:rFonts w:hint="eastAsia" w:ascii="仿宋_GB2312" w:hAnsi="仿宋_GB2312" w:eastAsia="仿宋_GB2312" w:cs="仿宋_GB2312"/>
              <w:color w:val="auto"/>
              <w:highlight w:val="none"/>
            </w:rPr>
            <w:fldChar w:fldCharType="end"/>
          </w:r>
        </w:p>
        <w:p>
          <w:pPr>
            <w:pStyle w:val="23"/>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right" w:leader="dot" w:pos="8306"/>
              <w:tab w:val="clear" w:pos="8296"/>
            </w:tabs>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\l _Toc31502 </w:instrText>
          </w:r>
          <w:r>
            <w:rPr>
              <w:rFonts w:hint="eastAsia" w:ascii="仿宋_GB2312" w:hAnsi="仿宋_GB2312" w:eastAsia="仿宋_GB2312" w:cs="仿宋_GB2312"/>
              <w:color w:val="auto"/>
              <w:highlight w:val="none"/>
            </w:rPr>
            <w:fldChar w:fldCharType="separate"/>
          </w:r>
          <w:r>
            <w:rPr>
              <w:rFonts w:hint="eastAsia" w:hAnsi="仿宋_GB2312" w:cs="仿宋_GB2312"/>
              <w:color w:val="auto"/>
              <w:highlight w:val="none"/>
              <w:lang w:val="en-US" w:eastAsia="zh-CN"/>
            </w:rPr>
            <w:t>六</w:t>
          </w:r>
          <w:r>
            <w:rPr>
              <w:rFonts w:hint="eastAsia" w:ascii="仿宋_GB2312" w:hAnsi="仿宋_GB2312" w:eastAsia="仿宋_GB2312" w:cs="仿宋_GB2312"/>
              <w:color w:val="auto"/>
              <w:highlight w:val="none"/>
            </w:rPr>
            <w:t>、其他需要说明的问题</w:t>
          </w:r>
          <w:r>
            <w:rPr>
              <w:rFonts w:hint="eastAsia" w:ascii="仿宋_GB2312" w:hAnsi="仿宋_GB2312" w:eastAsia="仿宋_GB2312" w:cs="仿宋_GB2312"/>
              <w:color w:val="auto"/>
              <w:highlight w:val="none"/>
            </w:rPr>
            <w:tab/>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PAGEREF _Toc31502 \h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highlight w:val="none"/>
            </w:rPr>
            <w:t>- 99 -</w:t>
          </w:r>
          <w:r>
            <w:rPr>
              <w:rFonts w:hint="eastAsia" w:ascii="仿宋_GB2312" w:hAnsi="仿宋_GB2312" w:eastAsia="仿宋_GB2312" w:cs="仿宋_GB2312"/>
              <w:color w:val="auto"/>
              <w:highlight w:val="none"/>
            </w:rPr>
            <w:fldChar w:fldCharType="end"/>
          </w:r>
          <w:r>
            <w:rPr>
              <w:rFonts w:hint="eastAsia" w:ascii="仿宋_GB2312" w:hAnsi="仿宋_GB2312" w:eastAsia="仿宋_GB2312" w:cs="仿宋_GB2312"/>
              <w:color w:val="auto"/>
              <w:highlight w:val="none"/>
            </w:rPr>
            <w:fldChar w:fldCharType="end"/>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textAlignment w:val="auto"/>
            <w:rPr>
              <w:rFonts w:hint="eastAsia" w:ascii="仿宋_GB2312" w:hAnsi="仿宋_GB2312" w:eastAsia="仿宋_GB2312" w:cs="仿宋_GB2312"/>
              <w:color w:val="FF0000"/>
            </w:rPr>
          </w:pPr>
          <w:r>
            <w:rPr>
              <w:rFonts w:hint="eastAsia" w:ascii="仿宋_GB2312" w:hAnsi="仿宋_GB2312" w:eastAsia="仿宋_GB2312" w:cs="仿宋_GB2312"/>
              <w:color w:val="auto"/>
              <w:highlight w:val="none"/>
            </w:rPr>
            <w:fldChar w:fldCharType="end"/>
          </w:r>
        </w:p>
      </w:sdtContent>
    </w:sdt>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left"/>
        <w:textAlignment w:val="auto"/>
        <w:rPr>
          <w:rFonts w:hint="eastAsia" w:ascii="仿宋_GB2312" w:hAnsi="仿宋_GB2312" w:eastAsia="仿宋_GB2312" w:cs="仿宋_GB2312"/>
          <w:color w:val="auto"/>
          <w:szCs w:val="32"/>
        </w:rPr>
      </w:pPr>
      <w:bookmarkStart w:id="0" w:name="_Toc40046020"/>
    </w:p>
    <w:p>
      <w:pPr>
        <w:pStyle w:val="2"/>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color w:val="auto"/>
          <w:szCs w:val="32"/>
        </w:rPr>
      </w:pPr>
    </w:p>
    <w:p>
      <w:pPr>
        <w:pStyle w:val="2"/>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color w:val="auto"/>
          <w:szCs w:val="32"/>
        </w:rPr>
      </w:pPr>
    </w:p>
    <w:p>
      <w:pPr>
        <w:pStyle w:val="2"/>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color w:val="auto"/>
          <w:szCs w:val="32"/>
        </w:rPr>
      </w:pPr>
    </w:p>
    <w:p>
      <w:pPr>
        <w:pStyle w:val="2"/>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color w:val="auto"/>
          <w:szCs w:val="32"/>
        </w:rPr>
      </w:pPr>
    </w:p>
    <w:p>
      <w:pPr>
        <w:pStyle w:val="2"/>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color w:val="auto"/>
          <w:szCs w:val="32"/>
        </w:rPr>
      </w:pPr>
    </w:p>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textAlignment w:val="auto"/>
        <w:rPr>
          <w:rFonts w:hint="eastAsia" w:ascii="仿宋_GB2312" w:hAnsi="仿宋_GB2312" w:eastAsia="仿宋_GB2312" w:cs="仿宋_GB2312"/>
          <w:b w:val="0"/>
          <w:bCs w:val="0"/>
          <w:color w:val="auto"/>
          <w:sz w:val="32"/>
          <w:szCs w:val="32"/>
        </w:rPr>
      </w:pPr>
      <w:bookmarkStart w:id="1" w:name="_Toc30302"/>
      <w:bookmarkStart w:id="2" w:name="_Toc8812"/>
    </w:p>
    <w:p>
      <w:pPr>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b w:val="0"/>
          <w:bCs w:val="0"/>
          <w:color w:val="auto"/>
          <w:sz w:val="32"/>
          <w:szCs w:val="32"/>
        </w:rPr>
      </w:pPr>
    </w:p>
    <w:p>
      <w:pPr>
        <w:pStyle w:val="2"/>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b w:val="0"/>
          <w:bCs w:val="0"/>
          <w:color w:val="auto"/>
          <w:sz w:val="32"/>
          <w:szCs w:val="32"/>
        </w:rPr>
      </w:pPr>
    </w:p>
    <w:p>
      <w:pPr>
        <w:pStyle w:val="2"/>
        <w:keepNext w:val="0"/>
        <w:keepLines w:val="0"/>
        <w:pageBreakBefore w:val="0"/>
        <w:kinsoku/>
        <w:wordWrap/>
        <w:overflowPunct/>
        <w:autoSpaceDE/>
        <w:autoSpaceDN/>
        <w:bidi w:val="0"/>
        <w:spacing w:line="600" w:lineRule="exact"/>
        <w:ind w:left="0" w:leftChars="0" w:firstLine="0" w:firstLineChars="0"/>
        <w:textAlignment w:val="auto"/>
        <w:rPr>
          <w:rFonts w:hint="eastAsia" w:ascii="仿宋_GB2312" w:hAnsi="仿宋_GB2312" w:eastAsia="仿宋_GB2312" w:cs="仿宋_GB2312"/>
          <w:b w:val="0"/>
          <w:bCs w:val="0"/>
          <w:color w:val="auto"/>
          <w:sz w:val="32"/>
          <w:szCs w:val="32"/>
        </w:rPr>
      </w:pPr>
    </w:p>
    <w:p>
      <w:pPr>
        <w:pStyle w:val="2"/>
        <w:keepNext w:val="0"/>
        <w:keepLines w:val="0"/>
        <w:pageBreakBefore w:val="0"/>
        <w:kinsoku/>
        <w:wordWrap/>
        <w:overflowPunct/>
        <w:autoSpaceDE/>
        <w:autoSpaceDN/>
        <w:bidi w:val="0"/>
        <w:spacing w:line="600" w:lineRule="exact"/>
        <w:ind w:left="0" w:leftChars="0" w:firstLine="0" w:firstLineChars="0"/>
        <w:textAlignment w:val="auto"/>
        <w:rPr>
          <w:rFonts w:hint="eastAsia" w:ascii="仿宋_GB2312" w:hAnsi="仿宋_GB2312" w:eastAsia="仿宋_GB2312" w:cs="仿宋_GB2312"/>
          <w:b w:val="0"/>
          <w:bCs w:val="0"/>
          <w:color w:val="auto"/>
          <w:sz w:val="32"/>
          <w:szCs w:val="32"/>
        </w:rPr>
      </w:pPr>
    </w:p>
    <w:p>
      <w:pPr>
        <w:pStyle w:val="2"/>
        <w:keepNext w:val="0"/>
        <w:keepLines w:val="0"/>
        <w:pageBreakBefore w:val="0"/>
        <w:kinsoku/>
        <w:wordWrap/>
        <w:overflowPunct/>
        <w:autoSpaceDE/>
        <w:autoSpaceDN/>
        <w:bidi w:val="0"/>
        <w:spacing w:line="600" w:lineRule="exact"/>
        <w:ind w:left="0" w:leftChars="0" w:firstLine="0" w:firstLineChars="0"/>
        <w:textAlignment w:val="auto"/>
        <w:rPr>
          <w:rFonts w:hint="eastAsia" w:ascii="仿宋_GB2312" w:hAnsi="仿宋_GB2312" w:eastAsia="仿宋_GB2312" w:cs="仿宋_GB2312"/>
          <w:b w:val="0"/>
          <w:bCs w:val="0"/>
          <w:color w:val="auto"/>
          <w:sz w:val="32"/>
          <w:szCs w:val="32"/>
        </w:rPr>
      </w:pPr>
    </w:p>
    <w:p>
      <w:pPr>
        <w:pStyle w:val="2"/>
        <w:keepNext w:val="0"/>
        <w:keepLines w:val="0"/>
        <w:pageBreakBefore w:val="0"/>
        <w:kinsoku/>
        <w:wordWrap/>
        <w:overflowPunct/>
        <w:autoSpaceDE/>
        <w:autoSpaceDN/>
        <w:bidi w:val="0"/>
        <w:spacing w:line="600" w:lineRule="exact"/>
        <w:ind w:left="0" w:leftChars="0" w:firstLine="0" w:firstLineChars="0"/>
        <w:textAlignment w:val="auto"/>
        <w:rPr>
          <w:rFonts w:hint="eastAsia" w:ascii="仿宋_GB2312" w:hAnsi="仿宋_GB2312" w:eastAsia="仿宋_GB2312" w:cs="仿宋_GB2312"/>
          <w:b w:val="0"/>
          <w:bCs w:val="0"/>
          <w:color w:val="auto"/>
          <w:sz w:val="32"/>
          <w:szCs w:val="32"/>
        </w:rPr>
      </w:pPr>
    </w:p>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right="0" w:rightChars="0"/>
        <w:textAlignment w:val="auto"/>
        <w:rPr>
          <w:rFonts w:hint="eastAsia" w:ascii="黑体" w:hAnsi="黑体" w:eastAsia="黑体" w:cs="黑体"/>
          <w:b w:val="0"/>
          <w:bCs w:val="0"/>
          <w:color w:val="auto"/>
          <w:sz w:val="32"/>
          <w:szCs w:val="32"/>
        </w:rPr>
      </w:pPr>
    </w:p>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480" w:lineRule="exact"/>
        <w:ind w:left="0" w:leftChars="0" w:right="0" w:rightChars="0" w:firstLine="640" w:firstLineChars="200"/>
        <w:textAlignment w:val="auto"/>
        <w:rPr>
          <w:rFonts w:hint="eastAsia" w:ascii="黑体" w:hAnsi="黑体" w:eastAsia="黑体" w:cs="黑体"/>
          <w:b w:val="0"/>
          <w:bCs w:val="0"/>
          <w:color w:val="auto"/>
          <w:sz w:val="32"/>
          <w:szCs w:val="32"/>
        </w:rPr>
      </w:pPr>
    </w:p>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一、基本情况</w:t>
      </w:r>
      <w:bookmarkEnd w:id="0"/>
      <w:bookmarkEnd w:id="1"/>
      <w:bookmarkEnd w:id="2"/>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bookmarkStart w:id="3" w:name="_Toc21435"/>
      <w:bookmarkStart w:id="4" w:name="_Toc17663"/>
      <w:bookmarkStart w:id="5" w:name="_Toc40046021"/>
      <w:r>
        <w:rPr>
          <w:rFonts w:hint="eastAsia" w:ascii="仿宋_GB2312" w:hAnsi="仿宋_GB2312" w:eastAsia="仿宋_GB2312" w:cs="仿宋_GB2312"/>
          <w:color w:val="auto"/>
          <w:sz w:val="32"/>
          <w:szCs w:val="32"/>
        </w:rPr>
        <w:t>（一）部门主要职能</w:t>
      </w:r>
      <w:bookmarkEnd w:id="3"/>
      <w:bookmarkEnd w:id="4"/>
      <w:bookmarkEnd w:id="5"/>
    </w:p>
    <w:p>
      <w:pPr>
        <w:pStyle w:val="3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000000"/>
          <w:sz w:val="32"/>
          <w:szCs w:val="32"/>
        </w:rPr>
      </w:pPr>
      <w:bookmarkStart w:id="6" w:name="_Toc30897"/>
      <w:bookmarkStart w:id="7" w:name="_Toc5196"/>
      <w:bookmarkStart w:id="8" w:name="_Toc40046023"/>
      <w:r>
        <w:rPr>
          <w:rFonts w:hint="eastAsia" w:ascii="仿宋_GB2312" w:hAnsi="仿宋_GB2312" w:eastAsia="仿宋_GB2312" w:cs="仿宋_GB2312"/>
          <w:color w:val="000000"/>
          <w:sz w:val="32"/>
          <w:szCs w:val="32"/>
        </w:rPr>
        <w:t>省委宣传部是省委主管意识形态方面工作的职能部门，是社会主义精神文明建设的牵头协调部门，为正厅级</w:t>
      </w:r>
      <w:r>
        <w:rPr>
          <w:rFonts w:hint="eastAsia" w:ascii="仿宋_GB2312" w:hAnsi="仿宋_GB2312" w:eastAsia="仿宋_GB2312" w:cs="仿宋_GB2312"/>
          <w:color w:val="000000"/>
          <w:sz w:val="32"/>
          <w:szCs w:val="32"/>
          <w:lang w:eastAsia="zh-CN"/>
        </w:rPr>
        <w:t>建制</w:t>
      </w:r>
      <w:r>
        <w:rPr>
          <w:rFonts w:hint="eastAsia" w:ascii="仿宋_GB2312" w:hAnsi="仿宋_GB2312" w:eastAsia="仿宋_GB2312" w:cs="仿宋_GB2312"/>
          <w:color w:val="000000"/>
          <w:sz w:val="32"/>
          <w:szCs w:val="32"/>
        </w:rPr>
        <w:t>，加挂省精神文明建设办公室、省政府新闻办公室、省新闻出版局（省版权局）、省电影局牌子（注：根据国家保密法律法规和有关保密事项范围的规定，省委宣传部主要职责为涉密信息，不予公开）。</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（二）内设机构及所属</w:t>
      </w:r>
      <w:bookmarkEnd w:id="6"/>
      <w:r>
        <w:rPr>
          <w:rFonts w:hint="eastAsia" w:ascii="仿宋_GB2312" w:hAnsi="仿宋_GB2312" w:eastAsia="仿宋_GB2312" w:cs="仿宋_GB2312"/>
          <w:color w:val="auto"/>
          <w:sz w:val="32"/>
          <w:szCs w:val="32"/>
        </w:rPr>
        <w:t>单位概况</w:t>
      </w:r>
      <w:bookmarkEnd w:id="7"/>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机关内设机构</w:t>
      </w:r>
    </w:p>
    <w:p>
      <w:pPr>
        <w:pStyle w:val="3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sz w:val="32"/>
          <w:szCs w:val="32"/>
        </w:rPr>
        <w:t>省委宣传部机关内设</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个职能处室和1个直属机关党委。</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直属事业单位</w:t>
      </w:r>
    </w:p>
    <w:p>
      <w:pPr>
        <w:pStyle w:val="3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公益一类单位5个，具体为：甘肃省文化产业经营管理中心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甘肃省委宣传部信息技术中心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甘肃省委宣传部舆情研究中心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甘肃省出版物审读中心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甘肃省农家书屋建设管理办公室。</w:t>
      </w:r>
    </w:p>
    <w:p>
      <w:pPr>
        <w:pStyle w:val="3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公益二类单位1个，具体为：中共甘肃省委《党的建设》杂志社。</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参照公务员法管理的事业单位</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参照公务员法管理的事业单位1个：省委讲师团。</w:t>
      </w:r>
      <w:bookmarkStart w:id="9" w:name="_Toc9544"/>
      <w:bookmarkStart w:id="10" w:name="_Toc31117"/>
    </w:p>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二、绩效自评工作组织开展情况</w:t>
      </w:r>
      <w:bookmarkEnd w:id="9"/>
      <w:bookmarkEnd w:id="10"/>
      <w:bookmarkStart w:id="11" w:name="_Toc40046024"/>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bookmarkStart w:id="12" w:name="_Toc22222"/>
      <w:bookmarkStart w:id="13" w:name="_Toc10141"/>
      <w:bookmarkStart w:id="14" w:name="_Toc12833"/>
      <w:bookmarkStart w:id="15" w:name="_Toc16982"/>
      <w:bookmarkStart w:id="16" w:name="_Toc5423"/>
      <w:r>
        <w:rPr>
          <w:rFonts w:hint="eastAsia" w:ascii="仿宋_GB2312" w:hAnsi="仿宋_GB2312" w:eastAsia="仿宋_GB2312" w:cs="仿宋_GB2312"/>
          <w:color w:val="auto"/>
          <w:sz w:val="32"/>
          <w:szCs w:val="32"/>
        </w:rPr>
        <w:t>（一）工作组织管理</w:t>
      </w:r>
      <w:bookmarkEnd w:id="12"/>
      <w:bookmarkEnd w:id="13"/>
      <w:bookmarkEnd w:id="14"/>
      <w:bookmarkEnd w:id="15"/>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现场指导</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按照省财政厅</w:t>
      </w:r>
      <w:r>
        <w:rPr>
          <w:rFonts w:hint="eastAsia" w:ascii="仿宋_GB2312" w:hAnsi="仿宋_GB2312" w:eastAsia="仿宋_GB2312" w:cs="仿宋_GB2312"/>
          <w:color w:val="auto"/>
          <w:sz w:val="32"/>
          <w:szCs w:val="32"/>
        </w:rPr>
        <w:t>绩效自评工作要求，我部组织</w:t>
      </w:r>
      <w:r>
        <w:rPr>
          <w:rFonts w:hint="eastAsia" w:ascii="仿宋_GB2312" w:hAnsi="仿宋_GB2312" w:eastAsia="仿宋_GB2312" w:cs="仿宋_GB2312"/>
          <w:color w:val="auto"/>
          <w:sz w:val="32"/>
          <w:szCs w:val="32"/>
          <w:lang w:eastAsia="zh-CN"/>
        </w:rPr>
        <w:t>相关处室、</w:t>
      </w:r>
      <w:r>
        <w:rPr>
          <w:rFonts w:hint="eastAsia" w:ascii="仿宋_GB2312" w:hAnsi="仿宋_GB2312" w:eastAsia="仿宋_GB2312" w:cs="仿宋_GB2312"/>
          <w:color w:val="auto"/>
          <w:sz w:val="32"/>
          <w:szCs w:val="32"/>
          <w:lang w:val="en-US" w:eastAsia="zh-CN"/>
        </w:rPr>
        <w:t>直属</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对照</w:t>
      </w:r>
      <w:r>
        <w:rPr>
          <w:rFonts w:hint="eastAsia" w:ascii="仿宋_GB2312" w:hAnsi="仿宋_GB2312" w:eastAsia="仿宋_GB2312" w:cs="仿宋_GB2312"/>
          <w:color w:val="auto"/>
          <w:sz w:val="32"/>
          <w:szCs w:val="32"/>
          <w:lang w:eastAsia="zh-CN"/>
        </w:rPr>
        <w:t>年初</w:t>
      </w:r>
      <w:r>
        <w:rPr>
          <w:rFonts w:hint="eastAsia" w:ascii="仿宋_GB2312" w:hAnsi="仿宋_GB2312" w:eastAsia="仿宋_GB2312" w:cs="仿宋_GB2312"/>
          <w:color w:val="auto"/>
          <w:sz w:val="32"/>
          <w:szCs w:val="32"/>
        </w:rPr>
        <w:t>绩效目标，对202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年度部门整体</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各类</w:t>
      </w:r>
      <w:r>
        <w:rPr>
          <w:rFonts w:hint="eastAsia" w:ascii="仿宋_GB2312" w:hAnsi="仿宋_GB2312" w:eastAsia="仿宋_GB2312" w:cs="仿宋_GB2312"/>
          <w:color w:val="auto"/>
          <w:sz w:val="32"/>
          <w:szCs w:val="32"/>
          <w:lang w:eastAsia="zh-CN"/>
        </w:rPr>
        <w:t>专项</w:t>
      </w:r>
      <w:r>
        <w:rPr>
          <w:rFonts w:hint="eastAsia" w:ascii="仿宋_GB2312" w:hAnsi="仿宋_GB2312" w:eastAsia="仿宋_GB2312" w:cs="仿宋_GB2312"/>
          <w:color w:val="auto"/>
          <w:sz w:val="32"/>
          <w:szCs w:val="32"/>
        </w:rPr>
        <w:t>开展绩效自评，撰写绩效自评报告</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绩效自评报表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并通过</w:t>
      </w:r>
      <w:r>
        <w:rPr>
          <w:rFonts w:hint="eastAsia" w:ascii="仿宋_GB2312" w:hAnsi="仿宋_GB2312" w:eastAsia="仿宋_GB2312" w:cs="仿宋_GB2312"/>
          <w:color w:val="auto"/>
          <w:sz w:val="32"/>
          <w:szCs w:val="32"/>
          <w:lang w:val="en-US" w:eastAsia="zh-CN"/>
        </w:rPr>
        <w:t>甘肃</w:t>
      </w:r>
      <w:r>
        <w:rPr>
          <w:rFonts w:hint="eastAsia" w:ascii="仿宋_GB2312" w:hAnsi="仿宋_GB2312" w:eastAsia="仿宋_GB2312" w:cs="仿宋_GB2312"/>
          <w:color w:val="auto"/>
          <w:sz w:val="32"/>
          <w:szCs w:val="32"/>
        </w:rPr>
        <w:t>省财政厅预算管理</w:t>
      </w:r>
      <w:r>
        <w:rPr>
          <w:rFonts w:hint="eastAsia" w:ascii="仿宋_GB2312" w:hAnsi="仿宋_GB2312" w:eastAsia="仿宋_GB2312" w:cs="仿宋_GB2312"/>
          <w:color w:val="auto"/>
          <w:sz w:val="32"/>
          <w:szCs w:val="32"/>
          <w:lang w:eastAsia="zh-CN"/>
        </w:rPr>
        <w:t>一体化</w:t>
      </w:r>
      <w:r>
        <w:rPr>
          <w:rFonts w:hint="eastAsia" w:ascii="仿宋_GB2312" w:hAnsi="仿宋_GB2312" w:eastAsia="仿宋_GB2312" w:cs="仿宋_GB2312"/>
          <w:color w:val="auto"/>
          <w:sz w:val="32"/>
          <w:szCs w:val="32"/>
        </w:rPr>
        <w:t>系统</w:t>
      </w:r>
      <w:r>
        <w:rPr>
          <w:rFonts w:hint="eastAsia" w:ascii="仿宋_GB2312" w:hAnsi="仿宋_GB2312" w:eastAsia="仿宋_GB2312" w:cs="仿宋_GB2312"/>
          <w:color w:val="auto"/>
          <w:sz w:val="32"/>
          <w:szCs w:val="32"/>
          <w:lang w:val="en-US" w:eastAsia="zh-CN"/>
        </w:rPr>
        <w:t>完成</w:t>
      </w:r>
      <w:r>
        <w:rPr>
          <w:rFonts w:hint="eastAsia" w:ascii="仿宋_GB2312" w:hAnsi="仿宋_GB2312" w:eastAsia="仿宋_GB2312" w:cs="仿宋_GB2312"/>
          <w:color w:val="auto"/>
          <w:sz w:val="32"/>
          <w:szCs w:val="32"/>
        </w:rPr>
        <w:t>数据填报。</w:t>
      </w:r>
      <w:r>
        <w:rPr>
          <w:rFonts w:hint="eastAsia" w:ascii="仿宋_GB2312" w:hAnsi="仿宋_GB2312" w:eastAsia="仿宋_GB2312" w:cs="仿宋_GB2312"/>
          <w:color w:val="auto"/>
          <w:sz w:val="32"/>
          <w:szCs w:val="32"/>
          <w:lang w:eastAsia="zh-CN"/>
        </w:rPr>
        <w:t>部办公室</w:t>
      </w:r>
      <w:r>
        <w:rPr>
          <w:rFonts w:hint="eastAsia" w:ascii="仿宋_GB2312" w:hAnsi="仿宋_GB2312" w:eastAsia="仿宋_GB2312" w:cs="仿宋_GB2312"/>
          <w:color w:val="auto"/>
          <w:sz w:val="32"/>
          <w:szCs w:val="32"/>
          <w:lang w:val="en-US" w:eastAsia="zh-CN"/>
        </w:rPr>
        <w:t>通过</w:t>
      </w:r>
      <w:r>
        <w:rPr>
          <w:rFonts w:hint="eastAsia" w:ascii="仿宋_GB2312" w:hAnsi="仿宋_GB2312" w:eastAsia="仿宋_GB2312" w:cs="仿宋_GB2312"/>
          <w:color w:val="auto"/>
          <w:sz w:val="32"/>
          <w:szCs w:val="32"/>
        </w:rPr>
        <w:t>现场指导</w:t>
      </w:r>
      <w:r>
        <w:rPr>
          <w:rFonts w:hint="eastAsia" w:ascii="仿宋_GB2312" w:hAnsi="仿宋_GB2312" w:eastAsia="仿宋_GB2312" w:cs="仿宋_GB2312"/>
          <w:color w:val="auto"/>
          <w:sz w:val="32"/>
          <w:szCs w:val="32"/>
          <w:lang w:eastAsia="zh-CN"/>
        </w:rPr>
        <w:t>、资料审核等</w:t>
      </w:r>
      <w:r>
        <w:rPr>
          <w:rFonts w:hint="eastAsia" w:ascii="仿宋_GB2312" w:hAnsi="仿宋_GB2312" w:eastAsia="仿宋_GB2312" w:cs="仿宋_GB2312"/>
          <w:color w:val="auto"/>
          <w:sz w:val="32"/>
          <w:szCs w:val="32"/>
        </w:rPr>
        <w:t>方式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eastAsia="zh-CN"/>
        </w:rPr>
        <w:t>相关处室、</w:t>
      </w:r>
      <w:r>
        <w:rPr>
          <w:rFonts w:hint="eastAsia" w:ascii="仿宋_GB2312" w:hAnsi="仿宋_GB2312" w:eastAsia="仿宋_GB2312" w:cs="仿宋_GB2312"/>
          <w:color w:val="auto"/>
          <w:sz w:val="32"/>
          <w:szCs w:val="32"/>
        </w:rPr>
        <w:t>单位绩效自评工作</w:t>
      </w:r>
      <w:r>
        <w:rPr>
          <w:rFonts w:hint="eastAsia" w:ascii="仿宋_GB2312" w:hAnsi="仿宋_GB2312" w:eastAsia="仿宋_GB2312" w:cs="仿宋_GB2312"/>
          <w:color w:val="auto"/>
          <w:sz w:val="32"/>
          <w:szCs w:val="32"/>
          <w:lang w:val="en-US" w:eastAsia="zh-CN"/>
        </w:rPr>
        <w:t>进行全流程指导</w:t>
      </w:r>
      <w:r>
        <w:rPr>
          <w:rFonts w:hint="eastAsia" w:ascii="仿宋_GB2312" w:hAnsi="仿宋_GB2312" w:eastAsia="仿宋_GB2312" w:cs="仿宋_GB2312"/>
          <w:color w:val="auto"/>
          <w:sz w:val="32"/>
          <w:szCs w:val="32"/>
        </w:rPr>
        <w:t>，重点</w:t>
      </w:r>
      <w:r>
        <w:rPr>
          <w:rFonts w:hint="eastAsia" w:ascii="仿宋_GB2312" w:hAnsi="仿宋_GB2312" w:eastAsia="仿宋_GB2312" w:cs="仿宋_GB2312"/>
          <w:color w:val="auto"/>
          <w:sz w:val="32"/>
          <w:szCs w:val="32"/>
          <w:lang w:val="en-US" w:eastAsia="zh-CN"/>
        </w:rPr>
        <w:t>规范</w:t>
      </w:r>
      <w:r>
        <w:rPr>
          <w:rFonts w:hint="eastAsia" w:ascii="仿宋_GB2312" w:hAnsi="仿宋_GB2312" w:eastAsia="仿宋_GB2312" w:cs="仿宋_GB2312"/>
          <w:color w:val="auto"/>
          <w:sz w:val="32"/>
          <w:szCs w:val="32"/>
        </w:rPr>
        <w:t>填写格式、指标权重设计、内容填写</w:t>
      </w:r>
      <w:r>
        <w:rPr>
          <w:rFonts w:hint="eastAsia" w:ascii="仿宋_GB2312" w:hAnsi="仿宋_GB2312" w:eastAsia="仿宋_GB2312" w:cs="仿宋_GB2312"/>
          <w:color w:val="auto"/>
          <w:sz w:val="32"/>
          <w:szCs w:val="32"/>
          <w:lang w:val="en-US" w:eastAsia="zh-CN"/>
        </w:rPr>
        <w:t>等关键环节</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有效</w:t>
      </w:r>
      <w:r>
        <w:rPr>
          <w:rFonts w:hint="eastAsia" w:ascii="仿宋_GB2312" w:hAnsi="仿宋_GB2312" w:eastAsia="仿宋_GB2312" w:cs="仿宋_GB2312"/>
          <w:color w:val="auto"/>
          <w:sz w:val="32"/>
          <w:szCs w:val="32"/>
        </w:rPr>
        <w:t>保障自评工作</w:t>
      </w:r>
      <w:r>
        <w:rPr>
          <w:rFonts w:hint="eastAsia" w:ascii="仿宋_GB2312" w:hAnsi="仿宋_GB2312" w:eastAsia="仿宋_GB2312" w:cs="仿宋_GB2312"/>
          <w:color w:val="auto"/>
          <w:sz w:val="32"/>
          <w:szCs w:val="32"/>
          <w:lang w:eastAsia="zh-CN"/>
        </w:rPr>
        <w:t>顺利开展</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资料整理分析</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一是</w:t>
      </w:r>
      <w:r>
        <w:rPr>
          <w:rFonts w:hint="eastAsia" w:ascii="仿宋_GB2312" w:hAnsi="仿宋_GB2312" w:eastAsia="仿宋_GB2312" w:cs="仿宋_GB2312"/>
          <w:b w:val="0"/>
          <w:bCs w:val="0"/>
          <w:color w:val="auto"/>
          <w:sz w:val="32"/>
          <w:szCs w:val="32"/>
          <w:lang w:val="en-US" w:eastAsia="zh-CN"/>
        </w:rPr>
        <w:t>全面</w:t>
      </w:r>
      <w:r>
        <w:rPr>
          <w:rFonts w:hint="eastAsia" w:ascii="仿宋_GB2312" w:hAnsi="仿宋_GB2312" w:eastAsia="仿宋_GB2312" w:cs="仿宋_GB2312"/>
          <w:b w:val="0"/>
          <w:bCs w:val="0"/>
          <w:color w:val="auto"/>
          <w:sz w:val="32"/>
          <w:szCs w:val="32"/>
          <w:lang w:eastAsia="zh-CN"/>
        </w:rPr>
        <w:t>比对收集的</w:t>
      </w:r>
      <w:r>
        <w:rPr>
          <w:rFonts w:hint="eastAsia" w:ascii="仿宋_GB2312" w:hAnsi="仿宋_GB2312" w:eastAsia="仿宋_GB2312" w:cs="仿宋_GB2312"/>
          <w:b w:val="0"/>
          <w:bCs w:val="0"/>
          <w:color w:val="auto"/>
          <w:sz w:val="32"/>
          <w:szCs w:val="32"/>
        </w:rPr>
        <w:t>绩效自评表和相关佐证资料，确保数据统一</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完整</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准确</w:t>
      </w:r>
      <w:r>
        <w:rPr>
          <w:rFonts w:hint="eastAsia" w:ascii="仿宋_GB2312" w:hAnsi="仿宋_GB2312" w:eastAsia="仿宋_GB2312" w:cs="仿宋_GB2312"/>
          <w:b w:val="0"/>
          <w:bCs w:val="0"/>
          <w:color w:val="auto"/>
          <w:sz w:val="32"/>
          <w:szCs w:val="32"/>
        </w:rPr>
        <w:t>，并</w:t>
      </w:r>
      <w:r>
        <w:rPr>
          <w:rFonts w:hint="eastAsia" w:ascii="仿宋_GB2312" w:hAnsi="仿宋_GB2312" w:eastAsia="仿宋_GB2312" w:cs="仿宋_GB2312"/>
          <w:b w:val="0"/>
          <w:bCs w:val="0"/>
          <w:color w:val="auto"/>
          <w:sz w:val="32"/>
          <w:szCs w:val="32"/>
          <w:lang w:val="en-US" w:eastAsia="zh-CN"/>
        </w:rPr>
        <w:t>对</w:t>
      </w:r>
      <w:r>
        <w:rPr>
          <w:rFonts w:hint="eastAsia" w:ascii="仿宋_GB2312" w:hAnsi="仿宋_GB2312" w:eastAsia="仿宋_GB2312" w:cs="仿宋_GB2312"/>
          <w:b w:val="0"/>
          <w:bCs w:val="0"/>
          <w:color w:val="auto"/>
          <w:sz w:val="32"/>
          <w:szCs w:val="32"/>
        </w:rPr>
        <w:t>佐证资料</w:t>
      </w:r>
      <w:r>
        <w:rPr>
          <w:rFonts w:hint="eastAsia" w:ascii="仿宋_GB2312" w:hAnsi="仿宋_GB2312" w:eastAsia="仿宋_GB2312" w:cs="仿宋_GB2312"/>
          <w:b w:val="0"/>
          <w:bCs w:val="0"/>
          <w:color w:val="auto"/>
          <w:sz w:val="32"/>
          <w:szCs w:val="32"/>
          <w:lang w:val="en-US" w:eastAsia="zh-CN"/>
        </w:rPr>
        <w:t>分类归档</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规范管理</w:t>
      </w:r>
      <w:r>
        <w:rPr>
          <w:rFonts w:hint="eastAsia" w:ascii="仿宋_GB2312" w:hAnsi="仿宋_GB2312" w:eastAsia="仿宋_GB2312" w:cs="仿宋_GB2312"/>
          <w:b w:val="0"/>
          <w:bCs w:val="0"/>
          <w:color w:val="auto"/>
          <w:sz w:val="32"/>
          <w:szCs w:val="32"/>
        </w:rPr>
        <w:t>。二是</w:t>
      </w:r>
      <w:r>
        <w:rPr>
          <w:rFonts w:hint="eastAsia" w:ascii="仿宋_GB2312" w:hAnsi="仿宋_GB2312" w:eastAsia="仿宋_GB2312" w:cs="仿宋_GB2312"/>
          <w:b w:val="0"/>
          <w:bCs w:val="0"/>
          <w:color w:val="auto"/>
          <w:sz w:val="32"/>
          <w:szCs w:val="32"/>
          <w:lang w:val="en-US" w:eastAsia="zh-CN"/>
        </w:rPr>
        <w:t>系统汇总</w:t>
      </w: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年度部门整体预算资金安排</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项目实施</w:t>
      </w:r>
      <w:r>
        <w:rPr>
          <w:rFonts w:hint="eastAsia" w:ascii="仿宋_GB2312" w:hAnsi="仿宋_GB2312" w:eastAsia="仿宋_GB2312" w:cs="仿宋_GB2312"/>
          <w:b w:val="0"/>
          <w:bCs w:val="0"/>
          <w:color w:val="auto"/>
          <w:sz w:val="32"/>
          <w:szCs w:val="32"/>
          <w:lang w:val="en-US" w:eastAsia="zh-CN"/>
        </w:rPr>
        <w:t>推进</w:t>
      </w:r>
      <w:r>
        <w:rPr>
          <w:rFonts w:hint="eastAsia" w:ascii="仿宋_GB2312" w:hAnsi="仿宋_GB2312" w:eastAsia="仿宋_GB2312" w:cs="仿宋_GB2312"/>
          <w:b w:val="0"/>
          <w:bCs w:val="0"/>
          <w:color w:val="auto"/>
          <w:sz w:val="32"/>
          <w:szCs w:val="32"/>
        </w:rPr>
        <w:t>等资料</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形成完整资料台账</w:t>
      </w:r>
      <w:r>
        <w:rPr>
          <w:rFonts w:hint="eastAsia" w:ascii="仿宋_GB2312" w:hAnsi="仿宋_GB2312" w:eastAsia="仿宋_GB2312" w:cs="仿宋_GB2312"/>
          <w:b w:val="0"/>
          <w:bCs w:val="0"/>
          <w:color w:val="auto"/>
          <w:sz w:val="32"/>
          <w:szCs w:val="32"/>
        </w:rPr>
        <w:t>。三是</w:t>
      </w:r>
      <w:r>
        <w:rPr>
          <w:rFonts w:hint="eastAsia" w:ascii="仿宋_GB2312" w:hAnsi="仿宋_GB2312" w:eastAsia="仿宋_GB2312" w:cs="仿宋_GB2312"/>
          <w:b w:val="0"/>
          <w:bCs w:val="0"/>
          <w:color w:val="auto"/>
          <w:kern w:val="0"/>
          <w:sz w:val="32"/>
          <w:szCs w:val="32"/>
        </w:rPr>
        <w:t>科学</w:t>
      </w:r>
      <w:r>
        <w:rPr>
          <w:rFonts w:hint="eastAsia" w:ascii="仿宋_GB2312" w:hAnsi="仿宋_GB2312" w:eastAsia="仿宋_GB2312" w:cs="仿宋_GB2312"/>
          <w:b w:val="0"/>
          <w:bCs w:val="0"/>
          <w:color w:val="auto"/>
          <w:kern w:val="0"/>
          <w:sz w:val="32"/>
          <w:szCs w:val="32"/>
          <w:lang w:val="en-US" w:eastAsia="zh-CN"/>
        </w:rPr>
        <w:t>开展数据分析，先按绩效评价指标对数据分类梳理，再从多渠道资料中选取真实、有效、支撑性强的数据，最后开展综合分析，深入查找偏离绩效目标的原因，明确改进措施</w:t>
      </w:r>
      <w:r>
        <w:rPr>
          <w:rFonts w:hint="eastAsia" w:ascii="仿宋_GB2312" w:hAnsi="仿宋_GB2312" w:eastAsia="仿宋_GB2312" w:cs="仿宋_GB2312"/>
          <w:b w:val="0"/>
          <w:bCs w:val="0"/>
          <w:color w:val="auto"/>
          <w:sz w:val="32"/>
          <w:szCs w:val="32"/>
        </w:rPr>
        <w:t>，为后续工作开展提供</w:t>
      </w:r>
      <w:r>
        <w:rPr>
          <w:rFonts w:hint="eastAsia" w:ascii="仿宋_GB2312" w:hAnsi="仿宋_GB2312" w:eastAsia="仿宋_GB2312" w:cs="仿宋_GB2312"/>
          <w:b w:val="0"/>
          <w:bCs w:val="0"/>
          <w:color w:val="auto"/>
          <w:sz w:val="32"/>
          <w:szCs w:val="32"/>
          <w:lang w:val="en-US" w:eastAsia="zh-CN"/>
        </w:rPr>
        <w:t>经验参考</w:t>
      </w:r>
      <w:r>
        <w:rPr>
          <w:rFonts w:hint="eastAsia" w:ascii="仿宋_GB2312" w:hAnsi="仿宋_GB2312" w:eastAsia="仿宋_GB2312" w:cs="仿宋_GB2312"/>
          <w:b w:val="0"/>
          <w:bCs w:val="0"/>
          <w:color w:val="auto"/>
          <w:sz w:val="32"/>
          <w:szCs w:val="32"/>
        </w:rPr>
        <w:t>与</w:t>
      </w:r>
      <w:r>
        <w:rPr>
          <w:rFonts w:hint="eastAsia" w:ascii="仿宋_GB2312" w:hAnsi="仿宋_GB2312" w:eastAsia="仿宋_GB2312" w:cs="仿宋_GB2312"/>
          <w:b w:val="0"/>
          <w:bCs w:val="0"/>
          <w:color w:val="auto"/>
          <w:sz w:val="32"/>
          <w:szCs w:val="32"/>
          <w:lang w:val="en-US" w:eastAsia="zh-CN"/>
        </w:rPr>
        <w:t>实践指引</w:t>
      </w:r>
      <w:r>
        <w:rPr>
          <w:rFonts w:hint="eastAsia" w:ascii="仿宋_GB2312" w:hAnsi="仿宋_GB2312" w:eastAsia="仿宋_GB2312" w:cs="仿宋_GB2312"/>
          <w:b w:val="0"/>
          <w:bCs w:val="0"/>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绩效自评打分</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我部通过对收集资料的整理分析，进行绩效自评打分，形成《202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年中共甘肃省委宣传部部门整体支出绩效自评表》《202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中共甘肃省委宣传部部门预算项目支出绩效自评表》。部门整体与项目绩效自评价结果根据《甘肃省财政厅关于印发&lt;甘肃省省级预算绩效管理办法&gt;等6个办法和规程的通知》（甘财绩〔2020〕5号）要求，采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评分</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评级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相结合的方式，总分设置为100分，等级划分为四档：90分（含）-100分为“优”、80分（含）-90分为“良”、60分（含）-80分为“中”、60分以下为“差”。</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撰写绩效自评报告</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rPr>
        <w:t>结合</w:t>
      </w:r>
      <w:r>
        <w:rPr>
          <w:rFonts w:hint="eastAsia" w:ascii="仿宋_GB2312" w:hAnsi="仿宋_GB2312" w:eastAsia="仿宋_GB2312" w:cs="仿宋_GB2312"/>
          <w:color w:val="auto"/>
          <w:kern w:val="0"/>
          <w:sz w:val="32"/>
          <w:szCs w:val="32"/>
        </w:rPr>
        <w:t>绩效自评结果</w:t>
      </w:r>
      <w:r>
        <w:rPr>
          <w:rFonts w:hint="eastAsia" w:ascii="仿宋_GB2312" w:hAnsi="仿宋_GB2312" w:eastAsia="仿宋_GB2312" w:cs="仿宋_GB2312"/>
          <w:color w:val="auto"/>
          <w:kern w:val="0"/>
          <w:sz w:val="32"/>
          <w:szCs w:val="32"/>
          <w:lang w:val="en-US" w:eastAsia="zh-CN"/>
        </w:rPr>
        <w:t>与各项数据资料</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全面、客观、系统分析</w:t>
      </w: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年度部门整体预算执行、部门预算项目实施情况，</w:t>
      </w:r>
      <w:r>
        <w:rPr>
          <w:rFonts w:hint="eastAsia" w:ascii="仿宋_GB2312" w:hAnsi="仿宋_GB2312" w:eastAsia="仿宋_GB2312" w:cs="仿宋_GB2312"/>
          <w:color w:val="auto"/>
          <w:kern w:val="0"/>
          <w:sz w:val="32"/>
          <w:szCs w:val="32"/>
          <w:lang w:val="en-US" w:eastAsia="zh-CN"/>
        </w:rPr>
        <w:t>严格按照规范</w:t>
      </w:r>
      <w:r>
        <w:rPr>
          <w:rFonts w:hint="eastAsia" w:ascii="仿宋_GB2312" w:hAnsi="仿宋_GB2312" w:eastAsia="仿宋_GB2312" w:cs="仿宋_GB2312"/>
          <w:color w:val="auto"/>
          <w:kern w:val="0"/>
          <w:sz w:val="32"/>
          <w:szCs w:val="32"/>
        </w:rPr>
        <w:t>要求撰写形成《202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年度中共甘肃省委宣传部预算执行情况绩效自评报告》。</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bookmarkStart w:id="17" w:name="_Toc65230988"/>
      <w:bookmarkStart w:id="18" w:name="_Toc30289"/>
      <w:r>
        <w:rPr>
          <w:rFonts w:hint="eastAsia"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审核报送</w:t>
      </w:r>
      <w:bookmarkEnd w:id="17"/>
      <w:bookmarkEnd w:id="18"/>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自评表和自评报告完成后，</w:t>
      </w:r>
      <w:r>
        <w:rPr>
          <w:rFonts w:hint="eastAsia" w:ascii="仿宋_GB2312" w:hAnsi="仿宋_GB2312" w:eastAsia="仿宋_GB2312" w:cs="仿宋_GB2312"/>
          <w:color w:val="auto"/>
          <w:sz w:val="32"/>
          <w:szCs w:val="32"/>
          <w:lang w:val="en-US" w:eastAsia="zh-CN"/>
        </w:rPr>
        <w:t>先</w:t>
      </w: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eastAsia="zh-CN"/>
        </w:rPr>
        <w:t>各处室、单位</w:t>
      </w:r>
      <w:r>
        <w:rPr>
          <w:rFonts w:hint="eastAsia" w:ascii="仿宋_GB2312" w:hAnsi="仿宋_GB2312" w:eastAsia="仿宋_GB2312" w:cs="仿宋_GB2312"/>
          <w:color w:val="auto"/>
          <w:sz w:val="32"/>
          <w:szCs w:val="32"/>
          <w:lang w:val="en-US" w:eastAsia="zh-CN"/>
        </w:rPr>
        <w:t>开展</w:t>
      </w:r>
      <w:r>
        <w:rPr>
          <w:rFonts w:hint="eastAsia" w:ascii="仿宋_GB2312" w:hAnsi="仿宋_GB2312" w:eastAsia="仿宋_GB2312" w:cs="仿宋_GB2312"/>
          <w:color w:val="auto"/>
          <w:sz w:val="32"/>
          <w:szCs w:val="32"/>
          <w:lang w:eastAsia="zh-CN"/>
        </w:rPr>
        <w:t>初</w:t>
      </w:r>
      <w:r>
        <w:rPr>
          <w:rFonts w:hint="eastAsia" w:ascii="仿宋_GB2312" w:hAnsi="仿宋_GB2312" w:eastAsia="仿宋_GB2312" w:cs="仿宋_GB2312"/>
          <w:color w:val="auto"/>
          <w:sz w:val="32"/>
          <w:szCs w:val="32"/>
        </w:rPr>
        <w:t>审，</w:t>
      </w:r>
      <w:r>
        <w:rPr>
          <w:rFonts w:hint="eastAsia" w:ascii="仿宋_GB2312" w:hAnsi="仿宋_GB2312" w:eastAsia="仿宋_GB2312" w:cs="仿宋_GB2312"/>
          <w:color w:val="auto"/>
          <w:sz w:val="32"/>
          <w:szCs w:val="32"/>
          <w:lang w:val="en-US" w:eastAsia="zh-CN"/>
        </w:rPr>
        <w:t>审核</w:t>
      </w:r>
      <w:r>
        <w:rPr>
          <w:rFonts w:hint="eastAsia" w:ascii="仿宋_GB2312" w:hAnsi="仿宋_GB2312" w:eastAsia="仿宋_GB2312" w:cs="仿宋_GB2312"/>
          <w:color w:val="auto"/>
          <w:sz w:val="32"/>
          <w:szCs w:val="32"/>
          <w:lang w:eastAsia="zh-CN"/>
        </w:rPr>
        <w:t>报</w:t>
      </w:r>
      <w:r>
        <w:rPr>
          <w:rFonts w:hint="eastAsia" w:ascii="仿宋_GB2312" w:hAnsi="仿宋_GB2312" w:eastAsia="仿宋_GB2312" w:cs="仿宋_GB2312"/>
          <w:color w:val="auto"/>
          <w:sz w:val="32"/>
          <w:szCs w:val="32"/>
        </w:rPr>
        <w:t>表的真实性、完整性、合理性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客观性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再由</w:t>
      </w:r>
      <w:r>
        <w:rPr>
          <w:rFonts w:hint="eastAsia" w:ascii="仿宋_GB2312" w:hAnsi="仿宋_GB2312" w:eastAsia="仿宋_GB2312" w:cs="仿宋_GB2312"/>
          <w:color w:val="auto"/>
          <w:sz w:val="32"/>
          <w:szCs w:val="32"/>
          <w:lang w:eastAsia="zh-CN"/>
        </w:rPr>
        <w:t>部办公</w:t>
      </w:r>
      <w:r>
        <w:rPr>
          <w:rFonts w:hint="eastAsia" w:ascii="仿宋_GB2312" w:hAnsi="仿宋_GB2312" w:eastAsia="仿宋_GB2312" w:cs="仿宋_GB2312"/>
          <w:color w:val="auto"/>
          <w:sz w:val="32"/>
          <w:szCs w:val="32"/>
          <w:lang w:val="en-US" w:eastAsia="zh-CN"/>
        </w:rPr>
        <w:t>室开展复审，重点核查</w:t>
      </w:r>
      <w:r>
        <w:rPr>
          <w:rFonts w:hint="eastAsia" w:ascii="仿宋_GB2312" w:hAnsi="仿宋_GB2312" w:eastAsia="仿宋_GB2312" w:cs="仿宋_GB2312"/>
          <w:color w:val="auto"/>
          <w:sz w:val="32"/>
          <w:szCs w:val="32"/>
          <w:lang w:eastAsia="zh-CN"/>
        </w:rPr>
        <w:t>填写格式、指标分值设计、内容填写等，</w:t>
      </w:r>
      <w:r>
        <w:rPr>
          <w:rFonts w:hint="eastAsia" w:ascii="仿宋_GB2312" w:hAnsi="仿宋_GB2312" w:eastAsia="仿宋_GB2312" w:cs="仿宋_GB2312"/>
          <w:color w:val="auto"/>
          <w:sz w:val="32"/>
          <w:szCs w:val="32"/>
        </w:rPr>
        <w:t>对发现的问题及时</w:t>
      </w:r>
      <w:r>
        <w:rPr>
          <w:rFonts w:hint="eastAsia" w:ascii="仿宋_GB2312" w:hAnsi="仿宋_GB2312" w:eastAsia="仿宋_GB2312" w:cs="仿宋_GB2312"/>
          <w:color w:val="auto"/>
          <w:sz w:val="32"/>
          <w:szCs w:val="32"/>
          <w:lang w:eastAsia="zh-CN"/>
        </w:rPr>
        <w:t>整改、</w:t>
      </w:r>
      <w:r>
        <w:rPr>
          <w:rFonts w:hint="eastAsia" w:ascii="仿宋_GB2312" w:hAnsi="仿宋_GB2312" w:eastAsia="仿宋_GB2312" w:cs="仿宋_GB2312"/>
          <w:color w:val="auto"/>
          <w:sz w:val="32"/>
          <w:szCs w:val="32"/>
          <w:lang w:val="en-US" w:eastAsia="zh-CN"/>
        </w:rPr>
        <w:t>闭环管理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最终由</w:t>
      </w:r>
      <w:r>
        <w:rPr>
          <w:rFonts w:hint="eastAsia" w:ascii="仿宋_GB2312" w:hAnsi="仿宋_GB2312" w:eastAsia="仿宋_GB2312" w:cs="仿宋_GB2312"/>
          <w:color w:val="auto"/>
          <w:sz w:val="32"/>
          <w:szCs w:val="32"/>
          <w:lang w:eastAsia="zh-CN"/>
        </w:rPr>
        <w:t>部办公室汇总呈部领导同意</w:t>
      </w:r>
      <w:r>
        <w:rPr>
          <w:rFonts w:hint="eastAsia" w:ascii="仿宋_GB2312" w:hAnsi="仿宋_GB2312" w:eastAsia="仿宋_GB2312" w:cs="仿宋_GB2312"/>
          <w:color w:val="auto"/>
          <w:sz w:val="32"/>
          <w:szCs w:val="32"/>
        </w:rPr>
        <w:t>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报送省财政厅审核备案。</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highlight w:val="none"/>
        </w:rPr>
      </w:pPr>
      <w:bookmarkStart w:id="19" w:name="_Toc19433"/>
      <w:r>
        <w:rPr>
          <w:rFonts w:hint="eastAsia" w:ascii="仿宋_GB2312" w:hAnsi="仿宋_GB2312" w:eastAsia="仿宋_GB2312" w:cs="仿宋_GB2312"/>
          <w:color w:val="auto"/>
          <w:sz w:val="32"/>
          <w:szCs w:val="32"/>
          <w:highlight w:val="none"/>
        </w:rPr>
        <w:t>（二）自评对象和范围</w:t>
      </w:r>
      <w:bookmarkEnd w:id="11"/>
      <w:bookmarkEnd w:id="16"/>
      <w:bookmarkEnd w:id="19"/>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本次预算绩效评价</w:t>
      </w:r>
      <w:r>
        <w:rPr>
          <w:rFonts w:hint="eastAsia" w:ascii="仿宋_GB2312" w:hAnsi="仿宋_GB2312" w:eastAsia="仿宋_GB2312" w:cs="仿宋_GB2312"/>
          <w:color w:val="auto"/>
          <w:sz w:val="32"/>
          <w:szCs w:val="32"/>
          <w:lang w:val="en-US" w:eastAsia="zh-CN"/>
        </w:rPr>
        <w:t>严格遵循</w:t>
      </w:r>
      <w:r>
        <w:rPr>
          <w:rFonts w:hint="eastAsia" w:ascii="仿宋_GB2312" w:hAnsi="仿宋_GB2312" w:eastAsia="仿宋_GB2312" w:cs="仿宋_GB2312"/>
          <w:color w:val="auto"/>
          <w:sz w:val="32"/>
          <w:szCs w:val="32"/>
        </w:rPr>
        <w:t>省级部门项目支出、部门整体支出评价对象全覆盖的原则，结合</w:t>
      </w:r>
      <w:r>
        <w:rPr>
          <w:rFonts w:hint="eastAsia" w:ascii="仿宋_GB2312" w:hAnsi="仿宋_GB2312" w:eastAsia="仿宋_GB2312" w:cs="仿宋_GB2312"/>
          <w:color w:val="auto"/>
          <w:sz w:val="32"/>
          <w:szCs w:val="32"/>
          <w:lang w:eastAsia="zh-CN"/>
        </w:rPr>
        <w:t>省财政厅要求和</w:t>
      </w:r>
      <w:r>
        <w:rPr>
          <w:rFonts w:hint="eastAsia" w:ascii="仿宋_GB2312" w:hAnsi="仿宋_GB2312" w:eastAsia="仿宋_GB2312" w:cs="仿宋_GB2312"/>
          <w:color w:val="auto"/>
          <w:sz w:val="32"/>
          <w:szCs w:val="32"/>
        </w:rPr>
        <w:t>我部实际情况，自评对象</w:t>
      </w:r>
      <w:r>
        <w:rPr>
          <w:rFonts w:hint="eastAsia" w:ascii="仿宋_GB2312" w:hAnsi="仿宋_GB2312" w:eastAsia="仿宋_GB2312" w:cs="仿宋_GB2312"/>
          <w:color w:val="auto"/>
          <w:sz w:val="32"/>
          <w:szCs w:val="32"/>
          <w:lang w:val="en-US" w:eastAsia="zh-CN"/>
        </w:rPr>
        <w:t>涵盖</w:t>
      </w:r>
      <w:r>
        <w:rPr>
          <w:rFonts w:hint="eastAsia" w:ascii="仿宋_GB2312" w:hAnsi="仿宋_GB2312" w:eastAsia="仿宋_GB2312" w:cs="仿宋_GB2312"/>
          <w:color w:val="auto"/>
          <w:sz w:val="32"/>
          <w:szCs w:val="32"/>
        </w:rPr>
        <w:t>业务费、宣传文化发展专项、</w:t>
      </w:r>
      <w:r>
        <w:rPr>
          <w:rFonts w:hint="eastAsia" w:ascii="仿宋_GB2312" w:hAnsi="仿宋_GB2312" w:eastAsia="仿宋_GB2312" w:cs="仿宋_GB2312"/>
          <w:color w:val="auto"/>
          <w:sz w:val="32"/>
          <w:szCs w:val="32"/>
          <w:lang w:eastAsia="zh-CN"/>
        </w:rPr>
        <w:t>媒体新闻宣传专项、</w:t>
      </w:r>
      <w:r>
        <w:rPr>
          <w:rFonts w:hint="eastAsia" w:ascii="仿宋_GB2312" w:hAnsi="仿宋_GB2312" w:eastAsia="仿宋_GB2312" w:cs="仿宋_GB2312"/>
          <w:color w:val="auto"/>
          <w:sz w:val="32"/>
          <w:szCs w:val="32"/>
        </w:rPr>
        <w:t>哲学社会科学规划研究培训和基地建设经费等</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个</w:t>
      </w:r>
      <w:r>
        <w:rPr>
          <w:rFonts w:hint="eastAsia" w:ascii="仿宋_GB2312" w:hAnsi="仿宋_GB2312" w:eastAsia="仿宋_GB2312" w:cs="仿宋_GB2312"/>
          <w:color w:val="auto"/>
          <w:sz w:val="32"/>
          <w:szCs w:val="32"/>
          <w:lang w:eastAsia="zh-CN"/>
        </w:rPr>
        <w:t>省级部门</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eastAsia="zh-CN"/>
        </w:rPr>
        <w:t>支出，</w:t>
      </w:r>
      <w:r>
        <w:rPr>
          <w:rFonts w:hint="eastAsia" w:ascii="仿宋_GB2312" w:hAnsi="仿宋_GB2312" w:eastAsia="仿宋_GB2312" w:cs="仿宋_GB2312"/>
          <w:color w:val="auto"/>
          <w:sz w:val="32"/>
          <w:szCs w:val="32"/>
          <w:lang w:val="en-US" w:eastAsia="zh-CN"/>
        </w:rPr>
        <w:t>以及</w:t>
      </w:r>
      <w:r>
        <w:rPr>
          <w:rFonts w:hint="eastAsia" w:ascii="仿宋_GB2312" w:hAnsi="仿宋_GB2312" w:eastAsia="仿宋_GB2312" w:cs="仿宋_GB2312"/>
          <w:color w:val="auto"/>
          <w:sz w:val="32"/>
          <w:szCs w:val="32"/>
        </w:rPr>
        <w:t>部门整体支出。</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lang w:eastAsia="zh-CN"/>
        </w:rPr>
      </w:pPr>
      <w:r>
        <w:rPr>
          <w:rFonts w:hint="eastAsia" w:ascii="仿宋_GB2312" w:hAnsi="仿宋_GB2312" w:eastAsia="仿宋_GB2312" w:cs="仿宋_GB2312"/>
          <w:b w:val="0"/>
          <w:bCs w:val="0"/>
          <w:color w:val="auto"/>
          <w:sz w:val="32"/>
          <w:szCs w:val="32"/>
          <w:highlight w:val="none"/>
          <w:lang w:eastAsia="zh-CN"/>
        </w:rPr>
        <w:t>涉密专项、</w:t>
      </w:r>
      <w:r>
        <w:rPr>
          <w:rFonts w:hint="eastAsia" w:ascii="仿宋_GB2312" w:hAnsi="仿宋_GB2312" w:eastAsia="仿宋_GB2312" w:cs="仿宋_GB2312"/>
          <w:color w:val="auto"/>
          <w:sz w:val="32"/>
          <w:szCs w:val="32"/>
        </w:rPr>
        <w:t>省对市县转移支付</w:t>
      </w:r>
      <w:r>
        <w:rPr>
          <w:rFonts w:hint="eastAsia" w:ascii="仿宋_GB2312" w:hAnsi="仿宋_GB2312" w:eastAsia="仿宋_GB2312" w:cs="仿宋_GB2312"/>
          <w:color w:val="auto"/>
          <w:sz w:val="32"/>
          <w:szCs w:val="32"/>
          <w:lang w:val="en-US" w:eastAsia="zh-CN"/>
        </w:rPr>
        <w:t>专项</w:t>
      </w:r>
      <w:r>
        <w:rPr>
          <w:rFonts w:hint="eastAsia" w:ascii="仿宋_GB2312" w:hAnsi="仿宋_GB2312" w:eastAsia="仿宋_GB2312" w:cs="仿宋_GB2312"/>
          <w:b w:val="0"/>
          <w:bCs w:val="0"/>
          <w:color w:val="auto"/>
          <w:sz w:val="32"/>
          <w:szCs w:val="32"/>
          <w:highlight w:val="none"/>
          <w:lang w:eastAsia="zh-CN"/>
        </w:rPr>
        <w:t>和预算指标全额调剂专项，</w:t>
      </w:r>
      <w:r>
        <w:rPr>
          <w:rFonts w:hint="eastAsia" w:ascii="仿宋_GB2312" w:hAnsi="仿宋_GB2312" w:eastAsia="仿宋_GB2312" w:cs="仿宋_GB2312"/>
          <w:color w:val="auto"/>
          <w:sz w:val="32"/>
          <w:szCs w:val="32"/>
          <w:lang w:eastAsia="zh-CN"/>
        </w:rPr>
        <w:t>省财政厅未推送自评任务，</w:t>
      </w:r>
      <w:r>
        <w:rPr>
          <w:rFonts w:hint="eastAsia" w:ascii="仿宋_GB2312" w:hAnsi="仿宋_GB2312" w:eastAsia="仿宋_GB2312" w:cs="仿宋_GB2312"/>
          <w:color w:val="auto"/>
          <w:sz w:val="32"/>
          <w:szCs w:val="32"/>
          <w:lang w:val="en-US" w:eastAsia="zh-CN"/>
        </w:rPr>
        <w:t>未纳入本次自评范围</w:t>
      </w:r>
      <w:r>
        <w:rPr>
          <w:rFonts w:hint="eastAsia" w:ascii="仿宋_GB2312" w:hAnsi="仿宋_GB2312" w:eastAsia="仿宋_GB2312" w:cs="仿宋_GB2312"/>
          <w:color w:val="auto"/>
          <w:sz w:val="32"/>
          <w:szCs w:val="32"/>
          <w:lang w:eastAsia="zh-CN"/>
        </w:rPr>
        <w:t>。</w:t>
      </w:r>
    </w:p>
    <w:bookmarkEnd w:id="8"/>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bookmarkStart w:id="20" w:name="_Toc618"/>
      <w:bookmarkStart w:id="21" w:name="_Toc15295"/>
      <w:bookmarkStart w:id="22" w:name="_Toc12463"/>
      <w:bookmarkStart w:id="23" w:name="_Toc1931"/>
      <w:bookmarkStart w:id="24" w:name="_Toc18984"/>
      <w:bookmarkStart w:id="25" w:name="_Toc15226"/>
      <w:bookmarkStart w:id="26" w:name="_Toc15970"/>
      <w:bookmarkStart w:id="27" w:name="_Toc40046025"/>
      <w:r>
        <w:rPr>
          <w:rFonts w:hint="eastAsia" w:ascii="仿宋_GB2312" w:hAnsi="仿宋_GB2312" w:eastAsia="仿宋_GB2312" w:cs="仿宋_GB2312"/>
          <w:color w:val="auto"/>
          <w:sz w:val="32"/>
          <w:szCs w:val="32"/>
        </w:rPr>
        <w:t>（三）绩效评价依据</w:t>
      </w:r>
      <w:bookmarkEnd w:id="20"/>
      <w:bookmarkEnd w:id="21"/>
      <w:bookmarkEnd w:id="22"/>
      <w:bookmarkEnd w:id="23"/>
      <w:bookmarkEnd w:id="24"/>
      <w:bookmarkEnd w:id="25"/>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《中华人民共和国预算法》;</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《关于全面实施预算绩效管理的意见》（中发〔2018〕34号）；</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《关于贯彻落实&lt;中共中央</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国务院关于全面实施预算绩效管理的意见&gt;的通知》（财预〔2018〕167号）；</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《关于全面实施预算绩效管理的实施意见》（甘发〔2018〕32号）；</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cs="仿宋_GB2312"/>
          <w:color w:val="auto"/>
          <w:sz w:val="32"/>
          <w:szCs w:val="32"/>
          <w:lang w:val="en-US" w:eastAsia="zh-CN"/>
        </w:rPr>
        <w:t>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《甘肃省财政厅关于印发&lt;甘肃省省级预算绩效管理办法&gt;等6个办法和规程的通知》（甘财绩〔2020〕5号）；</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default" w:cs="仿宋_GB2312"/>
          <w:color w:val="auto"/>
          <w:sz w:val="32"/>
          <w:szCs w:val="32"/>
          <w:highlight w:val="none"/>
          <w:lang w:val="en-US" w:eastAsia="zh-CN"/>
        </w:rPr>
      </w:pPr>
      <w:r>
        <w:rPr>
          <w:rFonts w:hint="eastAsia" w:cs="仿宋_GB2312"/>
          <w:color w:val="auto"/>
          <w:sz w:val="32"/>
          <w:szCs w:val="32"/>
          <w:highlight w:val="none"/>
          <w:lang w:val="en-US" w:eastAsia="zh-CN"/>
        </w:rPr>
        <w:t>6.《甘肃省财政厅关于印发&lt;甘肃省省级预算绩效目标和指标设置指引&gt;的通知》</w:t>
      </w:r>
      <w:r>
        <w:rPr>
          <w:rFonts w:hint="eastAsia" w:ascii="仿宋_GB2312" w:hAnsi="仿宋_GB2312" w:eastAsia="仿宋_GB2312" w:cs="仿宋_GB2312"/>
          <w:color w:val="auto"/>
          <w:sz w:val="32"/>
          <w:szCs w:val="32"/>
          <w:highlight w:val="none"/>
        </w:rPr>
        <w:t>（甘财绩〔202</w:t>
      </w:r>
      <w:r>
        <w:rPr>
          <w:rFonts w:hint="eastAsia"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w:t>
      </w:r>
      <w:r>
        <w:rPr>
          <w:rFonts w:hint="eastAsia"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号）</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highlight w:val="none"/>
          <w:lang w:val="en-US" w:eastAsia="zh-CN"/>
        </w:rPr>
      </w:pPr>
      <w:r>
        <w:rPr>
          <w:rFonts w:hint="eastAsia" w:cs="仿宋_GB2312"/>
          <w:color w:val="auto"/>
          <w:sz w:val="32"/>
          <w:szCs w:val="32"/>
          <w:highlight w:val="none"/>
          <w:lang w:val="en-US" w:eastAsia="zh-CN"/>
        </w:rPr>
        <w:t>7.《甘肃省财政厅关于印发省级预算部门预算绩效管理工作清单的通知》</w:t>
      </w:r>
      <w:r>
        <w:rPr>
          <w:rFonts w:hint="eastAsia" w:ascii="仿宋_GB2312" w:hAnsi="仿宋_GB2312" w:eastAsia="仿宋_GB2312" w:cs="仿宋_GB2312"/>
          <w:color w:val="auto"/>
          <w:sz w:val="32"/>
          <w:szCs w:val="32"/>
          <w:highlight w:val="none"/>
        </w:rPr>
        <w:t>（甘财绩〔202</w:t>
      </w:r>
      <w:r>
        <w:rPr>
          <w:rFonts w:hint="eastAsia"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号）</w:t>
      </w:r>
      <w:r>
        <w:rPr>
          <w:rFonts w:hint="eastAsia" w:cs="仿宋_GB2312"/>
          <w:color w:val="auto"/>
          <w:sz w:val="32"/>
          <w:szCs w:val="32"/>
          <w:highlight w:val="none"/>
          <w:lang w:eastAsia="zh-CN"/>
        </w:rPr>
        <w:t>。</w:t>
      </w:r>
    </w:p>
    <w:bookmarkEnd w:id="26"/>
    <w:bookmarkEnd w:id="27"/>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0" w:firstLineChars="200"/>
        <w:textAlignment w:val="auto"/>
        <w:rPr>
          <w:rFonts w:hint="eastAsia" w:ascii="黑体" w:hAnsi="黑体" w:eastAsia="黑体" w:cs="黑体"/>
          <w:b w:val="0"/>
          <w:bCs w:val="0"/>
          <w:color w:val="auto"/>
          <w:sz w:val="32"/>
          <w:szCs w:val="32"/>
        </w:rPr>
      </w:pPr>
      <w:bookmarkStart w:id="28" w:name="_Toc40046026"/>
      <w:bookmarkStart w:id="29" w:name="_Toc23527"/>
      <w:bookmarkStart w:id="30" w:name="_Toc23932"/>
      <w:r>
        <w:rPr>
          <w:rFonts w:hint="eastAsia" w:ascii="黑体" w:hAnsi="黑体" w:eastAsia="黑体" w:cs="黑体"/>
          <w:b w:val="0"/>
          <w:bCs w:val="0"/>
          <w:color w:val="auto"/>
          <w:sz w:val="32"/>
          <w:szCs w:val="32"/>
        </w:rPr>
        <w:t>三、部门整体支出绩效自评情况分析</w:t>
      </w:r>
      <w:bookmarkEnd w:id="28"/>
      <w:bookmarkEnd w:id="29"/>
      <w:bookmarkEnd w:id="30"/>
      <w:r>
        <w:rPr>
          <w:rFonts w:hint="eastAsia" w:ascii="黑体" w:hAnsi="黑体" w:eastAsia="黑体" w:cs="黑体"/>
          <w:b w:val="0"/>
          <w:bCs w:val="0"/>
          <w:color w:val="auto"/>
          <w:sz w:val="32"/>
          <w:szCs w:val="32"/>
        </w:rPr>
        <w:tab/>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bookmarkStart w:id="31" w:name="_Toc15080"/>
      <w:bookmarkStart w:id="32" w:name="_Toc40046027"/>
      <w:bookmarkStart w:id="33" w:name="_Toc20026"/>
      <w:r>
        <w:rPr>
          <w:rFonts w:hint="eastAsia" w:ascii="仿宋_GB2312" w:hAnsi="仿宋_GB2312" w:eastAsia="仿宋_GB2312" w:cs="仿宋_GB2312"/>
          <w:color w:val="auto"/>
          <w:sz w:val="32"/>
          <w:szCs w:val="32"/>
        </w:rPr>
        <w:t>（一）部门决算情况</w:t>
      </w:r>
      <w:bookmarkEnd w:id="31"/>
      <w:bookmarkEnd w:id="32"/>
      <w:bookmarkEnd w:id="33"/>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FF0000"/>
          <w:sz w:val="32"/>
          <w:szCs w:val="32"/>
          <w:lang w:eastAsia="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年度，我部年初预算</w:t>
      </w:r>
      <w:r>
        <w:rPr>
          <w:rFonts w:hint="eastAsia" w:ascii="仿宋_GB2312" w:hAnsi="仿宋_GB2312" w:eastAsia="仿宋_GB2312" w:cs="仿宋_GB2312"/>
          <w:color w:val="auto"/>
          <w:sz w:val="32"/>
          <w:szCs w:val="32"/>
          <w:lang w:val="en-US" w:eastAsia="zh-CN"/>
        </w:rPr>
        <w:t>24704.05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（其中基本支出</w:t>
      </w:r>
      <w:r>
        <w:rPr>
          <w:rFonts w:hint="eastAsia" w:ascii="仿宋_GB2312" w:hAnsi="仿宋_GB2312" w:eastAsia="仿宋_GB2312" w:cs="仿宋_GB2312"/>
          <w:color w:val="auto"/>
          <w:sz w:val="32"/>
          <w:szCs w:val="32"/>
          <w:lang w:val="en-US" w:eastAsia="zh-CN"/>
        </w:rPr>
        <w:t>4359.90万元、项目支出20344.15万元</w:t>
      </w:r>
      <w:r>
        <w:rPr>
          <w:rFonts w:hint="eastAsia" w:ascii="仿宋_GB2312" w:hAnsi="仿宋_GB2312" w:eastAsia="仿宋_GB2312" w:cs="仿宋_GB2312"/>
          <w:color w:val="auto"/>
          <w:sz w:val="32"/>
          <w:szCs w:val="32"/>
        </w:rPr>
        <w:t>，经调整</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rPr>
        <w:t>全年预算</w:t>
      </w:r>
      <w:r>
        <w:rPr>
          <w:rFonts w:hint="eastAsia" w:ascii="仿宋_GB2312" w:hAnsi="仿宋_GB2312" w:eastAsia="仿宋_GB2312" w:cs="仿宋_GB2312"/>
          <w:color w:val="auto"/>
          <w:sz w:val="32"/>
          <w:szCs w:val="32"/>
          <w:lang w:val="en-US" w:eastAsia="zh-CN"/>
        </w:rPr>
        <w:t>24874.79万元（其中基本支出4998.73万元，项目支出19876.06万元）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全年执行数23954.80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（其中基本支出</w:t>
      </w:r>
      <w:r>
        <w:rPr>
          <w:rFonts w:hint="eastAsia" w:ascii="仿宋_GB2312" w:hAnsi="仿宋_GB2312" w:eastAsia="仿宋_GB2312" w:cs="仿宋_GB2312"/>
          <w:color w:val="auto"/>
          <w:sz w:val="32"/>
          <w:szCs w:val="32"/>
          <w:lang w:val="en-US" w:eastAsia="zh-CN"/>
        </w:rPr>
        <w:t>4951.42万元，项目支出19003.38万元）</w:t>
      </w:r>
      <w:r>
        <w:rPr>
          <w:rFonts w:hint="eastAsia" w:ascii="仿宋_GB2312" w:hAnsi="仿宋_GB2312" w:eastAsia="仿宋_GB2312" w:cs="仿宋_GB2312"/>
          <w:color w:val="auto"/>
          <w:sz w:val="32"/>
          <w:szCs w:val="32"/>
        </w:rPr>
        <w:t>，部门整体支出预算执行率为</w:t>
      </w:r>
      <w:r>
        <w:rPr>
          <w:rFonts w:hint="eastAsia" w:ascii="仿宋_GB2312" w:hAnsi="仿宋_GB2312" w:eastAsia="仿宋_GB2312" w:cs="仿宋_GB2312"/>
          <w:color w:val="auto"/>
          <w:sz w:val="32"/>
          <w:szCs w:val="32"/>
          <w:lang w:val="en-US" w:eastAsia="zh-CN"/>
        </w:rPr>
        <w:t>96.3</w:t>
      </w:r>
      <w:r>
        <w:rPr>
          <w:rFonts w:hint="eastAsia" w:cs="仿宋_GB2312"/>
          <w:color w:val="auto"/>
          <w:sz w:val="32"/>
          <w:szCs w:val="32"/>
          <w:lang w:val="en-US" w:eastAsia="zh-CN"/>
        </w:rPr>
        <w:t>0</w:t>
      </w:r>
      <w:r>
        <w:rPr>
          <w:rFonts w:hint="eastAsia" w:ascii="仿宋_GB2312" w:hAnsi="仿宋_GB2312" w:eastAsia="仿宋_GB2312" w:cs="仿宋_GB2312"/>
          <w:color w:val="auto"/>
          <w:sz w:val="32"/>
          <w:szCs w:val="32"/>
        </w:rPr>
        <w:t>%。</w:t>
      </w:r>
    </w:p>
    <w:p>
      <w:pPr>
        <w:pStyle w:val="1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决算数据和绩效自评数据差额说明：</w:t>
      </w:r>
    </w:p>
    <w:p>
      <w:pPr>
        <w:pStyle w:val="16"/>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部分涉密项目</w:t>
      </w:r>
      <w:r>
        <w:rPr>
          <w:rFonts w:hint="eastAsia" w:ascii="仿宋_GB2312" w:hAnsi="仿宋_GB2312" w:eastAsia="仿宋_GB2312" w:cs="仿宋_GB2312"/>
          <w:color w:val="auto"/>
          <w:sz w:val="32"/>
          <w:szCs w:val="32"/>
          <w:lang w:val="en-US" w:eastAsia="zh-CN"/>
        </w:rPr>
        <w:t>未纳入</w:t>
      </w:r>
      <w:r>
        <w:rPr>
          <w:rFonts w:hint="eastAsia" w:ascii="仿宋_GB2312" w:hAnsi="仿宋_GB2312" w:eastAsia="仿宋_GB2312" w:cs="仿宋_GB2312"/>
          <w:color w:val="auto"/>
          <w:sz w:val="32"/>
          <w:szCs w:val="32"/>
          <w:lang w:eastAsia="zh-CN"/>
        </w:rPr>
        <w:t>自评报告，涉及支出金额约</w:t>
      </w:r>
      <w:r>
        <w:rPr>
          <w:rFonts w:hint="eastAsia" w:ascii="仿宋_GB2312" w:hAnsi="仿宋_GB2312" w:eastAsia="仿宋_GB2312" w:cs="仿宋_GB2312"/>
          <w:color w:val="auto"/>
          <w:sz w:val="32"/>
          <w:szCs w:val="32"/>
          <w:lang w:val="en-US" w:eastAsia="zh-CN"/>
        </w:rPr>
        <w:t>725</w:t>
      </w:r>
      <w:r>
        <w:rPr>
          <w:rFonts w:hint="eastAsia" w:ascii="仿宋_GB2312" w:hAnsi="仿宋_GB2312" w:eastAsia="仿宋_GB2312" w:cs="仿宋_GB2312"/>
          <w:color w:val="auto"/>
          <w:sz w:val="32"/>
          <w:szCs w:val="32"/>
          <w:highlight w:val="none"/>
          <w:lang w:eastAsia="zh-CN"/>
        </w:rPr>
        <w:t>万</w:t>
      </w:r>
      <w:r>
        <w:rPr>
          <w:rFonts w:hint="eastAsia" w:ascii="仿宋_GB2312" w:hAnsi="仿宋_GB2312" w:eastAsia="仿宋_GB2312" w:cs="仿宋_GB2312"/>
          <w:color w:val="auto"/>
          <w:sz w:val="32"/>
          <w:szCs w:val="32"/>
          <w:lang w:eastAsia="zh-CN"/>
        </w:rPr>
        <w:t>元；</w:t>
      </w:r>
    </w:p>
    <w:p>
      <w:pPr>
        <w:pStyle w:val="16"/>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2.国社科鉴定费</w:t>
      </w:r>
      <w:r>
        <w:rPr>
          <w:rFonts w:hint="eastAsia" w:ascii="仿宋_GB2312" w:hAnsi="仿宋_GB2312" w:eastAsia="仿宋_GB2312" w:cs="仿宋_GB2312"/>
          <w:color w:val="auto"/>
          <w:sz w:val="32"/>
          <w:szCs w:val="32"/>
          <w:lang w:eastAsia="zh-CN"/>
        </w:rPr>
        <w:t>等中央部委下达“</w:t>
      </w:r>
      <w:r>
        <w:rPr>
          <w:rFonts w:hint="eastAsia" w:cs="仿宋_GB2312"/>
          <w:color w:val="auto"/>
          <w:sz w:val="32"/>
          <w:szCs w:val="32"/>
          <w:lang w:val="en-US" w:eastAsia="zh-CN"/>
        </w:rPr>
        <w:t>戴</w:t>
      </w:r>
      <w:r>
        <w:rPr>
          <w:rFonts w:hint="eastAsia" w:ascii="仿宋_GB2312" w:hAnsi="仿宋_GB2312" w:eastAsia="仿宋_GB2312" w:cs="仿宋_GB2312"/>
          <w:color w:val="auto"/>
          <w:sz w:val="32"/>
          <w:szCs w:val="32"/>
          <w:lang w:eastAsia="zh-CN"/>
        </w:rPr>
        <w:t>帽”资金未开展自评，涉及金额约</w:t>
      </w:r>
      <w:r>
        <w:rPr>
          <w:rFonts w:hint="eastAsia" w:ascii="仿宋_GB2312" w:hAnsi="仿宋_GB2312" w:eastAsia="仿宋_GB2312" w:cs="仿宋_GB2312"/>
          <w:color w:val="auto"/>
          <w:sz w:val="32"/>
          <w:szCs w:val="32"/>
          <w:lang w:val="en-US" w:eastAsia="zh-CN"/>
        </w:rPr>
        <w:t>145.28</w:t>
      </w:r>
      <w:r>
        <w:rPr>
          <w:rFonts w:hint="eastAsia" w:ascii="仿宋_GB2312" w:hAnsi="仿宋_GB2312" w:eastAsia="仿宋_GB2312" w:cs="仿宋_GB2312"/>
          <w:color w:val="auto"/>
          <w:sz w:val="32"/>
          <w:szCs w:val="32"/>
          <w:lang w:eastAsia="zh-CN"/>
        </w:rPr>
        <w:t>万元；</w:t>
      </w:r>
    </w:p>
    <w:p>
      <w:pPr>
        <w:pStyle w:val="16"/>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死亡抚恤金等省财政厅</w:t>
      </w:r>
      <w:r>
        <w:rPr>
          <w:rFonts w:hint="eastAsia" w:cs="仿宋_GB2312"/>
          <w:color w:val="auto"/>
          <w:sz w:val="32"/>
          <w:szCs w:val="32"/>
          <w:lang w:val="en-US" w:eastAsia="zh-CN"/>
        </w:rPr>
        <w:t>及相关</w:t>
      </w:r>
      <w:r>
        <w:rPr>
          <w:rFonts w:hint="eastAsia" w:ascii="仿宋_GB2312" w:hAnsi="仿宋_GB2312" w:eastAsia="仿宋_GB2312" w:cs="仿宋_GB2312"/>
          <w:color w:val="auto"/>
          <w:sz w:val="32"/>
          <w:szCs w:val="32"/>
          <w:lang w:eastAsia="zh-CN"/>
        </w:rPr>
        <w:t>省直机关拨付款项未开展自评，涉及金额约</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lang w:eastAsia="zh-CN"/>
        </w:rPr>
        <w:t>万元；</w:t>
      </w:r>
    </w:p>
    <w:p>
      <w:pPr>
        <w:pStyle w:val="16"/>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4.长征长城黄河公园建设及省级文化产业发展改革专项、哲学社会科学规划研究培训和基地建设经费、省</w:t>
      </w:r>
      <w:r>
        <w:rPr>
          <w:rFonts w:hint="eastAsia"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扫黄打非</w:t>
      </w:r>
      <w:r>
        <w:rPr>
          <w:rFonts w:hint="eastAsia"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专项、《党的建设》杂志社办刊补助等专项中的对下转移支付资金，决算数据未体现，涉及金额</w:t>
      </w:r>
      <w:r>
        <w:rPr>
          <w:rFonts w:hint="eastAsia" w:cs="仿宋_GB2312"/>
          <w:color w:val="auto"/>
          <w:sz w:val="32"/>
          <w:szCs w:val="32"/>
          <w:lang w:val="en-US" w:eastAsia="zh-CN"/>
        </w:rPr>
        <w:t>约</w:t>
      </w:r>
      <w:r>
        <w:rPr>
          <w:rFonts w:hint="eastAsia" w:ascii="仿宋_GB2312" w:hAnsi="仿宋_GB2312" w:eastAsia="仿宋_GB2312" w:cs="仿宋_GB2312"/>
          <w:color w:val="auto"/>
          <w:sz w:val="32"/>
          <w:szCs w:val="32"/>
          <w:lang w:val="en-US" w:eastAsia="zh-CN"/>
        </w:rPr>
        <w:t>2181.07万元；</w:t>
      </w:r>
    </w:p>
    <w:p>
      <w:pPr>
        <w:pStyle w:val="16"/>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5.宣传文化发展专项、长征长城黄河公园建设及省级文化产业发展改革专项、哲学社会科学规划研究培训和基地建设经费等专项中的调剂资金（经省财政厅调整至其他单位的资金），决算数据未体现，涉及金额约754.4万元</w:t>
      </w:r>
      <w:r>
        <w:rPr>
          <w:rFonts w:hint="eastAsia" w:ascii="仿宋_GB2312" w:hAnsi="仿宋_GB2312" w:eastAsia="仿宋_GB2312" w:cs="仿宋_GB2312"/>
          <w:color w:val="auto"/>
          <w:sz w:val="32"/>
          <w:szCs w:val="32"/>
          <w:highlight w:val="none"/>
          <w:lang w:eastAsia="zh-CN"/>
        </w:rPr>
        <w:t>；</w:t>
      </w:r>
    </w:p>
    <w:p>
      <w:pPr>
        <w:pStyle w:val="16"/>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32"/>
          <w:szCs w:val="32"/>
          <w:lang w:val="en-US" w:eastAsia="zh-CN"/>
        </w:rPr>
        <w:t>6.文化传承版本普查经费等专项，年中省财政厅将全部指标调整至其他单位，决算数据未体现，且未推送自评任务，涉及金额约50万元</w:t>
      </w:r>
      <w:r>
        <w:rPr>
          <w:rFonts w:hint="eastAsia" w:ascii="仿宋_GB2312" w:hAnsi="仿宋_GB2312" w:eastAsia="仿宋_GB2312" w:cs="仿宋_GB2312"/>
          <w:color w:val="auto"/>
          <w:sz w:val="32"/>
          <w:szCs w:val="32"/>
          <w:lang w:eastAsia="zh-CN"/>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7.中国嘉峪关国际短片电影展补助、乡村少年宫专项资金、公共文化服务体系建设资金（新时代文明实践中心建设试点项目）等全额对下转移支付资金，决算数据未体现，且财政厅未推送自评任务。</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bookmarkStart w:id="34" w:name="_Toc27910"/>
      <w:bookmarkStart w:id="35" w:name="_Toc40046028"/>
      <w:bookmarkStart w:id="36" w:name="_Toc15635"/>
      <w:r>
        <w:rPr>
          <w:rFonts w:hint="eastAsia" w:ascii="仿宋_GB2312" w:hAnsi="仿宋_GB2312" w:eastAsia="仿宋_GB2312" w:cs="仿宋_GB2312"/>
          <w:color w:val="auto"/>
          <w:sz w:val="32"/>
          <w:szCs w:val="32"/>
        </w:rPr>
        <w:t>（二）总体绩效目标完成情况分析</w:t>
      </w:r>
      <w:bookmarkEnd w:id="34"/>
      <w:bookmarkEnd w:id="35"/>
      <w:bookmarkEnd w:id="36"/>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bookmarkStart w:id="37" w:name="_Toc65230993"/>
      <w:bookmarkStart w:id="38" w:name="_Toc26942"/>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总体绩效得分情况</w:t>
      </w:r>
      <w:bookmarkEnd w:id="37"/>
      <w:bookmarkEnd w:id="38"/>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经综合评价与分析，我部202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年度部门整体支出绩效自评最终得分为</w:t>
      </w:r>
      <w:r>
        <w:rPr>
          <w:rFonts w:hint="eastAsia" w:ascii="仿宋_GB2312" w:hAnsi="仿宋_GB2312" w:eastAsia="仿宋_GB2312" w:cs="仿宋_GB2312"/>
          <w:color w:val="auto"/>
          <w:sz w:val="32"/>
          <w:szCs w:val="32"/>
          <w:lang w:val="en-US" w:eastAsia="zh-CN"/>
        </w:rPr>
        <w:t>94.47</w:t>
      </w:r>
      <w:r>
        <w:rPr>
          <w:rFonts w:hint="eastAsia" w:ascii="仿宋_GB2312" w:hAnsi="仿宋_GB2312" w:eastAsia="仿宋_GB2312" w:cs="仿宋_GB2312"/>
          <w:color w:val="auto"/>
          <w:sz w:val="32"/>
          <w:szCs w:val="32"/>
        </w:rPr>
        <w:t>分，评价结果为“优”，具体得分</w:t>
      </w:r>
      <w:r>
        <w:rPr>
          <w:rFonts w:hint="eastAsia" w:ascii="仿宋_GB2312" w:hAnsi="仿宋_GB2312" w:eastAsia="仿宋_GB2312" w:cs="仿宋_GB2312"/>
          <w:color w:val="auto"/>
          <w:sz w:val="32"/>
          <w:szCs w:val="32"/>
          <w:lang w:val="en-US" w:eastAsia="zh-CN"/>
        </w:rPr>
        <w:t>如下</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202</w:t>
      </w:r>
      <w:r>
        <w:rPr>
          <w:rFonts w:hint="eastAsia" w:ascii="仿宋_GB2312" w:hAnsi="仿宋_GB2312" w:eastAsia="仿宋_GB2312" w:cs="仿宋_GB2312"/>
          <w:b/>
          <w:bCs/>
          <w:color w:val="auto"/>
          <w:kern w:val="0"/>
          <w:sz w:val="32"/>
          <w:szCs w:val="32"/>
          <w:lang w:val="en-US" w:eastAsia="zh-CN"/>
        </w:rPr>
        <w:t>5</w:t>
      </w:r>
      <w:r>
        <w:rPr>
          <w:rFonts w:hint="eastAsia" w:ascii="仿宋_GB2312" w:hAnsi="仿宋_GB2312" w:eastAsia="仿宋_GB2312" w:cs="仿宋_GB2312"/>
          <w:b/>
          <w:bCs/>
          <w:color w:val="auto"/>
          <w:kern w:val="0"/>
          <w:sz w:val="32"/>
          <w:szCs w:val="32"/>
        </w:rPr>
        <w:t>年度部门整体支出绩效自评指标得分情况</w:t>
      </w:r>
    </w:p>
    <w:tbl>
      <w:tblPr>
        <w:tblStyle w:val="30"/>
        <w:tblW w:w="8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bookmarkStart w:id="39" w:name="_Toc32015"/>
            <w:bookmarkStart w:id="40" w:name="_Toc65230994"/>
            <w:r>
              <w:rPr>
                <w:rFonts w:hint="eastAsia" w:ascii="仿宋_GB2312" w:hAnsi="仿宋_GB2312" w:eastAsia="仿宋_GB2312" w:cs="仿宋_GB2312"/>
                <w:b/>
                <w:bCs/>
                <w:color w:val="auto"/>
                <w:sz w:val="32"/>
                <w:szCs w:val="32"/>
              </w:rPr>
              <w:t>一级指标</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分值</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实际得分</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28"/>
                <w:szCs w:val="28"/>
              </w:rPr>
              <w:t>预算执行率</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9.63</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96.3</w:t>
            </w:r>
            <w:r>
              <w:rPr>
                <w:rFonts w:hint="eastAsia" w:ascii="仿宋_GB2312" w:hAnsi="仿宋_GB2312" w:eastAsia="仿宋_GB2312" w:cs="仿宋_GB2312"/>
                <w:color w:val="auto"/>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28"/>
                <w:szCs w:val="28"/>
              </w:rPr>
              <w:t>基本运行指标</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9.51</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95.1</w:t>
            </w:r>
            <w:r>
              <w:rPr>
                <w:rFonts w:hint="eastAsia" w:ascii="仿宋_GB2312" w:hAnsi="仿宋_GB2312" w:eastAsia="仿宋_GB2312" w:cs="仿宋_GB2312"/>
                <w:color w:val="auto"/>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28"/>
                <w:szCs w:val="28"/>
                <w:lang w:val="en-US" w:eastAsia="zh-CN"/>
              </w:rPr>
              <w:t>重点履职指标</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30</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27.58</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91.93</w:t>
            </w:r>
            <w:r>
              <w:rPr>
                <w:rFonts w:hint="eastAsia" w:ascii="仿宋_GB2312" w:hAnsi="仿宋_GB2312" w:eastAsia="仿宋_GB2312" w:cs="仿宋_GB2312"/>
                <w:color w:val="auto"/>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28"/>
                <w:szCs w:val="28"/>
                <w:lang w:val="en-US" w:eastAsia="zh-CN"/>
              </w:rPr>
              <w:t>部门综合指标</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30</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29.25</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97.5</w:t>
            </w:r>
            <w:r>
              <w:rPr>
                <w:rFonts w:hint="eastAsia" w:ascii="仿宋_GB2312" w:hAnsi="仿宋_GB2312" w:eastAsia="仿宋_GB2312" w:cs="仿宋_GB2312"/>
                <w:color w:val="auto"/>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18"/>
                <w:szCs w:val="18"/>
                <w:lang w:val="en-US" w:eastAsia="zh-CN"/>
              </w:rPr>
              <w:t>可持续发展能力指标</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18.5</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合计</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100</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94.47</w:t>
            </w:r>
          </w:p>
        </w:tc>
        <w:tc>
          <w:tcPr>
            <w:tcW w:w="2074" w:type="dxa"/>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94.47</w:t>
            </w:r>
            <w:r>
              <w:rPr>
                <w:rFonts w:hint="eastAsia" w:ascii="仿宋_GB2312" w:hAnsi="仿宋_GB2312" w:eastAsia="仿宋_GB2312" w:cs="仿宋_GB2312"/>
                <w:b/>
                <w:bCs/>
                <w:color w:val="auto"/>
                <w:sz w:val="32"/>
                <w:szCs w:val="32"/>
              </w:rPr>
              <w:t>%</w:t>
            </w:r>
          </w:p>
        </w:tc>
      </w:tr>
    </w:tbl>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主要目标完成情况</w:t>
      </w:r>
      <w:bookmarkEnd w:id="39"/>
      <w:bookmarkEnd w:id="40"/>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lang w:val="en-US" w:eastAsia="zh-CN"/>
        </w:rPr>
        <w:t>2025年，在省委的坚强领导下，全省宣传思想文化战线坚持以习近平新时代中国特色社会主义思想为指导，深入贯彻落实党的二十大和二十届历次全会精神，认真学习贯彻习近平文化思想和习近平总书记视察甘肃重要讲话重要指示精神，坚定拥护“两个确立”、坚决做到“两个维护”，切实担负起新时代新的文化使命，推动宣传思想文化工作取得新进展新成效。</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深化理论武装，坚持不懈用党的创新理论凝心铸魂。把学习宣传贯彻习近平新时代中国特色社会主义思想作为首要政治任务，着力在真学真懂真信真用、深化内化转化上下功夫，切实用党的创新理论统一思想、统一意志、统一行动。</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着眼强基固本，广泛凝聚奋进新征程的磅礴力量。坚持团结稳定鼓劲，持续壮大主流舆论、主流价值，用心用情讲好中国故事、甘肃故事，大力提振全省上下攻坚克难、干事创业的精气神。</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突出改革创新，繁荣发展文化事业文化产业。充分发挥文化底蕴深厚、文化资源丰富的优势，持续加强文化遗产保护传承，推动文化创新发展，加快建设繁荣兴盛的文旅强省。</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把握先机主动，坚决有效维护意识形态安全。全面贯彻总体国家安全观，严格落实意识形态工作责任制，深入实施意识形态领域主动创稳，筑牢意识形态安全防线。</w:t>
      </w: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sz w:val="32"/>
          <w:szCs w:val="32"/>
          <w:lang w:val="en-US" w:eastAsia="zh-CN"/>
        </w:rPr>
        <w:t>强化组织领导，认真履行管党治党政治责任。全面加强党对宣传思想文化工作的领导，自觉把习近平文化思想贯彻落实到工作各方面和全过程，纵深推进全面从严治党，为宣传思想文化工作高质量发展提供坚强保证。</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0"/>
        <w:textAlignment w:val="auto"/>
        <w:rPr>
          <w:rFonts w:hint="eastAsia" w:ascii="仿宋_GB2312" w:hAnsi="仿宋_GB2312" w:eastAsia="仿宋_GB2312" w:cs="仿宋_GB2312"/>
          <w:color w:val="auto"/>
          <w:sz w:val="32"/>
          <w:szCs w:val="32"/>
        </w:rPr>
      </w:pPr>
      <w:bookmarkStart w:id="41" w:name="_Toc32276"/>
      <w:bookmarkStart w:id="42" w:name="_Toc10146"/>
      <w:bookmarkStart w:id="43" w:name="_Toc9339"/>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各项指标完成情况分析</w:t>
      </w:r>
      <w:bookmarkEnd w:id="41"/>
      <w:bookmarkEnd w:id="42"/>
      <w:bookmarkEnd w:id="43"/>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eastAsia="zh-CN"/>
        </w:rPr>
      </w:pPr>
      <w:bookmarkStart w:id="44" w:name="_Toc65230996"/>
      <w:bookmarkStart w:id="45" w:name="_Toc14218"/>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预算执行率</w:t>
      </w:r>
      <w:bookmarkEnd w:id="44"/>
      <w:bookmarkEnd w:id="45"/>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年度，我部年初预算数</w:t>
      </w:r>
      <w:r>
        <w:rPr>
          <w:rFonts w:hint="eastAsia" w:ascii="仿宋_GB2312" w:hAnsi="仿宋_GB2312" w:eastAsia="仿宋_GB2312" w:cs="仿宋_GB2312"/>
          <w:color w:val="auto"/>
          <w:sz w:val="32"/>
          <w:szCs w:val="32"/>
          <w:lang w:val="en-US" w:eastAsia="zh-CN"/>
        </w:rPr>
        <w:t>24704.05</w:t>
      </w:r>
      <w:r>
        <w:rPr>
          <w:rFonts w:hint="eastAsia" w:ascii="仿宋_GB2312" w:hAnsi="仿宋_GB2312" w:eastAsia="仿宋_GB2312" w:cs="仿宋_GB2312"/>
          <w:color w:val="auto"/>
          <w:sz w:val="32"/>
          <w:szCs w:val="32"/>
        </w:rPr>
        <w:t>万元，调整</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rPr>
        <w:t>全年预算总额</w:t>
      </w:r>
      <w:r>
        <w:rPr>
          <w:rFonts w:hint="eastAsia" w:ascii="仿宋_GB2312" w:hAnsi="仿宋_GB2312" w:eastAsia="仿宋_GB2312" w:cs="仿宋_GB2312"/>
          <w:color w:val="auto"/>
          <w:sz w:val="32"/>
          <w:szCs w:val="32"/>
          <w:lang w:val="en-US" w:eastAsia="zh-CN"/>
        </w:rPr>
        <w:t>24874.79</w:t>
      </w:r>
      <w:r>
        <w:rPr>
          <w:rFonts w:hint="eastAsia" w:ascii="仿宋_GB2312" w:hAnsi="仿宋_GB2312" w:eastAsia="仿宋_GB2312" w:cs="仿宋_GB2312"/>
          <w:color w:val="auto"/>
          <w:sz w:val="32"/>
          <w:szCs w:val="32"/>
        </w:rPr>
        <w:t>万元，年内实际支出</w:t>
      </w:r>
      <w:r>
        <w:rPr>
          <w:rFonts w:hint="eastAsia" w:ascii="仿宋_GB2312" w:hAnsi="仿宋_GB2312" w:eastAsia="仿宋_GB2312" w:cs="仿宋_GB2312"/>
          <w:color w:val="auto"/>
          <w:sz w:val="32"/>
          <w:szCs w:val="32"/>
          <w:lang w:val="en-US" w:eastAsia="zh-CN"/>
        </w:rPr>
        <w:t>23954.80</w:t>
      </w:r>
      <w:r>
        <w:rPr>
          <w:rFonts w:hint="eastAsia" w:ascii="仿宋_GB2312" w:hAnsi="仿宋_GB2312" w:eastAsia="仿宋_GB2312" w:cs="仿宋_GB2312"/>
          <w:color w:val="auto"/>
          <w:sz w:val="32"/>
          <w:szCs w:val="32"/>
        </w:rPr>
        <w:t>万元，整体支出预算执行率</w:t>
      </w:r>
      <w:r>
        <w:rPr>
          <w:rFonts w:hint="eastAsia" w:ascii="仿宋_GB2312" w:hAnsi="仿宋_GB2312" w:eastAsia="仿宋_GB2312" w:cs="仿宋_GB2312"/>
          <w:color w:val="auto"/>
          <w:sz w:val="32"/>
          <w:szCs w:val="32"/>
          <w:lang w:val="en-US" w:eastAsia="zh-CN"/>
        </w:rPr>
        <w:t>96.3</w:t>
      </w:r>
      <w:r>
        <w:rPr>
          <w:rFonts w:hint="eastAsia" w:ascii="仿宋_GB2312" w:hAnsi="仿宋_GB2312" w:eastAsia="仿宋_GB2312" w:cs="仿宋_GB2312"/>
          <w:color w:val="auto"/>
          <w:sz w:val="32"/>
          <w:szCs w:val="32"/>
        </w:rPr>
        <w:t>%。指标分值10分，自评得分</w:t>
      </w:r>
      <w:r>
        <w:rPr>
          <w:rFonts w:hint="eastAsia" w:ascii="仿宋_GB2312" w:hAnsi="仿宋_GB2312" w:eastAsia="仿宋_GB2312" w:cs="仿宋_GB2312"/>
          <w:color w:val="auto"/>
          <w:sz w:val="32"/>
          <w:szCs w:val="32"/>
          <w:lang w:val="en-US" w:eastAsia="zh-CN"/>
        </w:rPr>
        <w:t>9.63</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96.3</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val="en-US" w:eastAsia="zh-CN"/>
        </w:rPr>
      </w:pPr>
      <w:bookmarkStart w:id="46" w:name="_Toc65230997"/>
      <w:bookmarkStart w:id="47" w:name="_Toc21467"/>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bookmarkEnd w:id="46"/>
      <w:bookmarkEnd w:id="47"/>
      <w:r>
        <w:rPr>
          <w:rFonts w:hint="eastAsia" w:ascii="仿宋_GB2312" w:hAnsi="仿宋_GB2312" w:eastAsia="仿宋_GB2312" w:cs="仿宋_GB2312"/>
          <w:color w:val="auto"/>
          <w:sz w:val="32"/>
          <w:szCs w:val="32"/>
          <w:lang w:val="en-US" w:eastAsia="zh-CN"/>
        </w:rPr>
        <w:t>基本运行</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基本运行指标</w:t>
      </w:r>
      <w:r>
        <w:rPr>
          <w:rFonts w:hint="eastAsia" w:ascii="仿宋_GB2312" w:hAnsi="仿宋_GB2312" w:eastAsia="仿宋_GB2312" w:cs="仿宋_GB2312"/>
          <w:color w:val="auto"/>
          <w:sz w:val="32"/>
          <w:szCs w:val="32"/>
        </w:rPr>
        <w:t>下设</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个三级指标，分值合计</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分，自评得分</w:t>
      </w:r>
      <w:r>
        <w:rPr>
          <w:rFonts w:hint="eastAsia" w:ascii="仿宋_GB2312" w:hAnsi="仿宋_GB2312" w:eastAsia="仿宋_GB2312" w:cs="仿宋_GB2312"/>
          <w:color w:val="auto"/>
          <w:sz w:val="32"/>
          <w:szCs w:val="32"/>
          <w:lang w:val="en-US" w:eastAsia="zh-CN"/>
        </w:rPr>
        <w:t>9.51</w:t>
      </w:r>
      <w:r>
        <w:rPr>
          <w:rFonts w:hint="eastAsia" w:ascii="仿宋_GB2312" w:hAnsi="仿宋_GB2312" w:eastAsia="仿宋_GB2312" w:cs="仿宋_GB2312"/>
          <w:color w:val="auto"/>
          <w:sz w:val="32"/>
          <w:szCs w:val="32"/>
        </w:rPr>
        <w:t>分，得分率为</w:t>
      </w:r>
      <w:r>
        <w:rPr>
          <w:rFonts w:hint="eastAsia" w:ascii="仿宋_GB2312" w:hAnsi="仿宋_GB2312" w:eastAsia="仿宋_GB2312" w:cs="仿宋_GB2312"/>
          <w:color w:val="auto"/>
          <w:sz w:val="32"/>
          <w:szCs w:val="32"/>
          <w:lang w:val="en-US" w:eastAsia="zh-CN"/>
        </w:rPr>
        <w:t>95.1</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基本支出预算执行率：</w:t>
      </w:r>
      <w:r>
        <w:rPr>
          <w:rFonts w:hint="eastAsia" w:ascii="仿宋_GB2312" w:hAnsi="仿宋_GB2312" w:eastAsia="仿宋_GB2312" w:cs="仿宋_GB2312"/>
          <w:color w:val="auto"/>
          <w:sz w:val="32"/>
          <w:szCs w:val="32"/>
        </w:rPr>
        <w:t>全年预算</w:t>
      </w:r>
      <w:r>
        <w:rPr>
          <w:rFonts w:hint="eastAsia" w:ascii="仿宋_GB2312" w:hAnsi="仿宋_GB2312" w:eastAsia="仿宋_GB2312" w:cs="仿宋_GB2312"/>
          <w:color w:val="auto"/>
          <w:sz w:val="32"/>
          <w:szCs w:val="32"/>
          <w:lang w:val="en-US" w:eastAsia="zh-CN"/>
        </w:rPr>
        <w:t>4998.73</w:t>
      </w:r>
      <w:r>
        <w:rPr>
          <w:rFonts w:hint="eastAsia" w:ascii="仿宋_GB2312" w:hAnsi="仿宋_GB2312" w:eastAsia="仿宋_GB2312" w:cs="仿宋_GB2312"/>
          <w:color w:val="auto"/>
          <w:sz w:val="32"/>
          <w:szCs w:val="32"/>
        </w:rPr>
        <w:t>万元，实际支出数</w:t>
      </w:r>
      <w:r>
        <w:rPr>
          <w:rFonts w:hint="eastAsia" w:ascii="仿宋_GB2312" w:hAnsi="仿宋_GB2312" w:eastAsia="仿宋_GB2312" w:cs="仿宋_GB2312"/>
          <w:color w:val="auto"/>
          <w:sz w:val="32"/>
          <w:szCs w:val="32"/>
          <w:lang w:val="en-US" w:eastAsia="zh-CN"/>
        </w:rPr>
        <w:t>4951.42</w:t>
      </w:r>
      <w:r>
        <w:rPr>
          <w:rFonts w:hint="eastAsia" w:ascii="仿宋_GB2312" w:hAnsi="仿宋_GB2312" w:eastAsia="仿宋_GB2312" w:cs="仿宋_GB2312"/>
          <w:color w:val="auto"/>
          <w:sz w:val="32"/>
          <w:szCs w:val="32"/>
        </w:rPr>
        <w:t>万元，执行率</w:t>
      </w:r>
      <w:r>
        <w:rPr>
          <w:rFonts w:hint="eastAsia" w:ascii="仿宋_GB2312" w:hAnsi="仿宋_GB2312" w:eastAsia="仿宋_GB2312" w:cs="仿宋_GB2312"/>
          <w:color w:val="auto"/>
          <w:sz w:val="32"/>
          <w:szCs w:val="32"/>
          <w:lang w:val="en-US" w:eastAsia="zh-CN"/>
        </w:rPr>
        <w:t>99.05</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分，得分率为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项目支出预算执行率：</w:t>
      </w:r>
      <w:r>
        <w:rPr>
          <w:rFonts w:hint="eastAsia" w:ascii="仿宋_GB2312" w:hAnsi="仿宋_GB2312" w:eastAsia="仿宋_GB2312" w:cs="仿宋_GB2312"/>
          <w:color w:val="auto"/>
          <w:sz w:val="32"/>
          <w:szCs w:val="32"/>
        </w:rPr>
        <w:t>全年预算</w:t>
      </w:r>
      <w:r>
        <w:rPr>
          <w:rFonts w:hint="eastAsia" w:ascii="仿宋_GB2312" w:hAnsi="仿宋_GB2312" w:eastAsia="仿宋_GB2312" w:cs="仿宋_GB2312"/>
          <w:color w:val="auto"/>
          <w:sz w:val="32"/>
          <w:szCs w:val="32"/>
          <w:lang w:val="en-US" w:eastAsia="zh-CN"/>
        </w:rPr>
        <w:t>19876.06</w:t>
      </w:r>
      <w:r>
        <w:rPr>
          <w:rFonts w:hint="eastAsia" w:ascii="仿宋_GB2312" w:hAnsi="仿宋_GB2312" w:eastAsia="仿宋_GB2312" w:cs="仿宋_GB2312"/>
          <w:color w:val="auto"/>
          <w:sz w:val="32"/>
          <w:szCs w:val="32"/>
        </w:rPr>
        <w:t>万元，实际支出</w:t>
      </w:r>
      <w:r>
        <w:rPr>
          <w:rFonts w:hint="eastAsia" w:ascii="仿宋_GB2312" w:hAnsi="仿宋_GB2312" w:eastAsia="仿宋_GB2312" w:cs="仿宋_GB2312"/>
          <w:color w:val="auto"/>
          <w:sz w:val="32"/>
          <w:szCs w:val="32"/>
          <w:lang w:val="en-US" w:eastAsia="zh-CN"/>
        </w:rPr>
        <w:t>19003.38</w:t>
      </w:r>
      <w:r>
        <w:rPr>
          <w:rFonts w:hint="eastAsia" w:ascii="仿宋_GB2312" w:hAnsi="仿宋_GB2312" w:eastAsia="仿宋_GB2312" w:cs="仿宋_GB2312"/>
          <w:color w:val="auto"/>
          <w:sz w:val="32"/>
          <w:szCs w:val="32"/>
        </w:rPr>
        <w:t>万元，执行率</w:t>
      </w:r>
      <w:r>
        <w:rPr>
          <w:rFonts w:hint="eastAsia" w:ascii="仿宋_GB2312" w:hAnsi="仿宋_GB2312" w:eastAsia="仿宋_GB2312" w:cs="仿宋_GB2312"/>
          <w:color w:val="auto"/>
          <w:sz w:val="32"/>
          <w:szCs w:val="32"/>
          <w:lang w:val="en-US" w:eastAsia="zh-CN"/>
        </w:rPr>
        <w:t>95.6</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分，得分率为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b/>
          <w:bCs/>
          <w:color w:val="auto"/>
          <w:sz w:val="32"/>
          <w:szCs w:val="32"/>
          <w:highlight w:val="none"/>
        </w:rPr>
        <w:t>“三公经费”控制率：</w:t>
      </w:r>
      <w:r>
        <w:rPr>
          <w:rFonts w:hint="eastAsia" w:ascii="仿宋_GB2312" w:hAnsi="仿宋_GB2312" w:eastAsia="仿宋_GB2312" w:cs="仿宋_GB2312"/>
          <w:color w:val="auto"/>
          <w:sz w:val="32"/>
          <w:szCs w:val="32"/>
          <w:highlight w:val="none"/>
        </w:rPr>
        <w:t>我</w:t>
      </w:r>
      <w:r>
        <w:rPr>
          <w:rFonts w:hint="eastAsia" w:ascii="仿宋_GB2312" w:hAnsi="仿宋_GB2312" w:eastAsia="仿宋_GB2312" w:cs="仿宋_GB2312"/>
          <w:color w:val="auto"/>
          <w:sz w:val="32"/>
          <w:szCs w:val="32"/>
        </w:rPr>
        <w:t>部认真落实中央八项规定</w:t>
      </w:r>
      <w:r>
        <w:rPr>
          <w:rFonts w:hint="eastAsia" w:ascii="仿宋_GB2312" w:hAnsi="仿宋_GB2312" w:eastAsia="仿宋_GB2312" w:cs="仿宋_GB2312"/>
          <w:color w:val="auto"/>
          <w:sz w:val="32"/>
          <w:szCs w:val="32"/>
          <w:lang w:val="en-US" w:eastAsia="zh-CN"/>
        </w:rPr>
        <w:t>精神</w:t>
      </w:r>
      <w:r>
        <w:rPr>
          <w:rFonts w:hint="eastAsia" w:ascii="仿宋_GB2312" w:hAnsi="仿宋_GB2312" w:eastAsia="仿宋_GB2312" w:cs="仿宋_GB2312"/>
          <w:color w:val="auto"/>
          <w:sz w:val="32"/>
          <w:szCs w:val="32"/>
        </w:rPr>
        <w:t>，厉行节约，严控支出，做到了资金</w:t>
      </w:r>
      <w:r>
        <w:rPr>
          <w:rFonts w:hint="eastAsia" w:ascii="仿宋_GB2312" w:hAnsi="仿宋_GB2312" w:eastAsia="仿宋_GB2312" w:cs="仿宋_GB2312"/>
          <w:color w:val="auto"/>
          <w:sz w:val="32"/>
          <w:szCs w:val="32"/>
          <w:lang w:val="en-US" w:eastAsia="zh-CN"/>
        </w:rPr>
        <w:t>使用</w:t>
      </w:r>
      <w:r>
        <w:rPr>
          <w:rFonts w:hint="eastAsia" w:ascii="仿宋_GB2312" w:hAnsi="仿宋_GB2312" w:eastAsia="仿宋_GB2312" w:cs="仿宋_GB2312"/>
          <w:color w:val="auto"/>
          <w:sz w:val="32"/>
          <w:szCs w:val="32"/>
        </w:rPr>
        <w:t>的合理与规范，近三年三公经费支出逐渐下降，202</w:t>
      </w:r>
      <w:r>
        <w:rPr>
          <w:rFonts w:hint="eastAsia" w:ascii="仿宋_GB2312" w:hAnsi="仿宋_GB2312" w:eastAsia="仿宋_GB2312" w:cs="仿宋_GB2312"/>
          <w:color w:val="auto"/>
          <w:sz w:val="32"/>
          <w:szCs w:val="32"/>
          <w:lang w:val="en-US" w:eastAsia="zh-CN"/>
        </w:rPr>
        <w:t>5年</w:t>
      </w:r>
      <w:r>
        <w:rPr>
          <w:rFonts w:hint="eastAsia" w:ascii="仿宋_GB2312" w:hAnsi="仿宋_GB2312" w:eastAsia="仿宋_GB2312" w:cs="仿宋_GB2312"/>
          <w:color w:val="auto"/>
          <w:sz w:val="32"/>
          <w:szCs w:val="32"/>
        </w:rPr>
        <w:t>预算数</w:t>
      </w:r>
      <w:r>
        <w:rPr>
          <w:rFonts w:hint="eastAsia" w:ascii="仿宋_GB2312" w:hAnsi="仿宋_GB2312" w:eastAsia="仿宋_GB2312" w:cs="仿宋_GB2312"/>
          <w:color w:val="auto"/>
          <w:sz w:val="32"/>
          <w:szCs w:val="32"/>
          <w:lang w:val="en-US" w:eastAsia="zh-CN"/>
        </w:rPr>
        <w:t>102.22</w:t>
      </w:r>
      <w:r>
        <w:rPr>
          <w:rFonts w:hint="eastAsia" w:ascii="仿宋_GB2312" w:hAnsi="仿宋_GB2312" w:eastAsia="仿宋_GB2312" w:cs="仿宋_GB2312"/>
          <w:color w:val="auto"/>
          <w:sz w:val="32"/>
          <w:szCs w:val="32"/>
        </w:rPr>
        <w:t>万元，实际支出数</w:t>
      </w:r>
      <w:r>
        <w:rPr>
          <w:rFonts w:hint="eastAsia" w:ascii="仿宋_GB2312" w:hAnsi="仿宋_GB2312" w:eastAsia="仿宋_GB2312" w:cs="仿宋_GB2312"/>
          <w:color w:val="auto"/>
          <w:sz w:val="32"/>
          <w:szCs w:val="32"/>
          <w:lang w:val="en-US" w:eastAsia="zh-CN"/>
        </w:rPr>
        <w:t>33.96</w:t>
      </w:r>
      <w:r>
        <w:rPr>
          <w:rFonts w:hint="eastAsia" w:ascii="仿宋_GB2312" w:hAnsi="仿宋_GB2312" w:eastAsia="仿宋_GB2312" w:cs="仿宋_GB2312"/>
          <w:color w:val="auto"/>
          <w:sz w:val="32"/>
          <w:szCs w:val="32"/>
        </w:rPr>
        <w:t>万元，控制率为</w:t>
      </w:r>
      <w:r>
        <w:rPr>
          <w:rFonts w:hint="eastAsia" w:ascii="仿宋_GB2312" w:hAnsi="仿宋_GB2312" w:eastAsia="仿宋_GB2312" w:cs="仿宋_GB2312"/>
          <w:color w:val="auto"/>
          <w:sz w:val="32"/>
          <w:szCs w:val="32"/>
          <w:lang w:val="en-US" w:eastAsia="zh-CN"/>
        </w:rPr>
        <w:t>33.22</w:t>
      </w:r>
      <w:r>
        <w:rPr>
          <w:rFonts w:hint="eastAsia" w:ascii="仿宋_GB2312" w:hAnsi="仿宋_GB2312" w:eastAsia="仿宋_GB2312" w:cs="仿宋_GB2312"/>
          <w:color w:val="auto"/>
          <w:sz w:val="32"/>
          <w:szCs w:val="32"/>
        </w:rPr>
        <w:t>%，符合目标要求。指标分值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分，得分率为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FF0000"/>
          <w:sz w:val="32"/>
          <w:szCs w:val="32"/>
          <w:highlight w:val="yellow"/>
          <w:lang w:eastAsia="zh-CN"/>
        </w:rPr>
      </w:pPr>
      <w:r>
        <w:rPr>
          <w:rFonts w:hint="eastAsia" w:ascii="仿宋_GB2312" w:hAnsi="仿宋_GB2312" w:eastAsia="仿宋_GB2312" w:cs="仿宋_GB2312"/>
          <w:b/>
          <w:bCs/>
          <w:color w:val="auto"/>
          <w:sz w:val="32"/>
          <w:szCs w:val="32"/>
        </w:rPr>
        <w:t>结转结余变动率：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年结转结余</w:t>
      </w:r>
      <w:r>
        <w:rPr>
          <w:rFonts w:hint="eastAsia" w:ascii="仿宋_GB2312" w:hAnsi="仿宋_GB2312" w:eastAsia="仿宋_GB2312" w:cs="仿宋_GB2312"/>
          <w:color w:val="auto"/>
          <w:sz w:val="32"/>
          <w:szCs w:val="32"/>
          <w:lang w:val="en-US" w:eastAsia="zh-CN"/>
        </w:rPr>
        <w:t>1136.77万元，2025年898.92万元，同比下降20.</w:t>
      </w:r>
      <w:r>
        <w:rPr>
          <w:rFonts w:hint="eastAsia" w:ascii="仿宋_GB2312" w:hAnsi="仿宋_GB2312" w:eastAsia="仿宋_GB2312" w:cs="仿宋_GB2312"/>
          <w:color w:val="auto"/>
          <w:sz w:val="32"/>
          <w:szCs w:val="32"/>
          <w:highlight w:val="none"/>
          <w:lang w:val="en-US" w:eastAsia="zh-CN"/>
        </w:rPr>
        <w:t>92%</w:t>
      </w:r>
      <w:r>
        <w:rPr>
          <w:rFonts w:hint="eastAsia" w:ascii="仿宋_GB2312" w:hAnsi="仿宋_GB2312" w:eastAsia="仿宋_GB2312" w:cs="仿宋_GB2312"/>
          <w:color w:val="auto"/>
          <w:sz w:val="32"/>
          <w:szCs w:val="32"/>
          <w:highlight w:val="none"/>
        </w:rPr>
        <w:t>。指标分值</w:t>
      </w:r>
      <w:r>
        <w:rPr>
          <w:rFonts w:hint="eastAsia" w:ascii="仿宋_GB2312" w:hAnsi="仿宋_GB2312" w:eastAsia="仿宋_GB2312" w:cs="仿宋_GB2312"/>
          <w:color w:val="auto"/>
          <w:sz w:val="32"/>
          <w:szCs w:val="32"/>
          <w:highlight w:val="none"/>
          <w:lang w:val="en-US" w:eastAsia="zh-CN"/>
        </w:rPr>
        <w:t>0.83</w:t>
      </w:r>
      <w:r>
        <w:rPr>
          <w:rFonts w:hint="eastAsia" w:ascii="仿宋_GB2312" w:hAnsi="仿宋_GB2312" w:eastAsia="仿宋_GB2312" w:cs="仿宋_GB2312"/>
          <w:color w:val="auto"/>
          <w:sz w:val="32"/>
          <w:szCs w:val="32"/>
          <w:highlight w:val="none"/>
        </w:rPr>
        <w:t>分，按评分标准得</w:t>
      </w:r>
      <w:r>
        <w:rPr>
          <w:rFonts w:hint="eastAsia" w:ascii="仿宋_GB2312" w:hAnsi="仿宋_GB2312" w:eastAsia="仿宋_GB2312" w:cs="仿宋_GB2312"/>
          <w:color w:val="auto"/>
          <w:sz w:val="32"/>
          <w:szCs w:val="32"/>
          <w:highlight w:val="none"/>
          <w:lang w:val="en-US" w:eastAsia="zh-CN"/>
        </w:rPr>
        <w:t>0.83</w:t>
      </w:r>
      <w:r>
        <w:rPr>
          <w:rFonts w:hint="eastAsia" w:ascii="仿宋_GB2312" w:hAnsi="仿宋_GB2312" w:eastAsia="仿宋_GB2312" w:cs="仿宋_GB2312"/>
          <w:color w:val="auto"/>
          <w:sz w:val="32"/>
          <w:szCs w:val="32"/>
          <w:highlight w:val="none"/>
        </w:rPr>
        <w:t>分，得分率为</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0%</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会计和内控制度执行有效性</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为进一步规范财务行为，强化财务管理，加强廉政风险防控，保证经济活动合法合规、资产安全和使用有效、财务信息真实完整，根据《中华人民共和国会计法》《中华人民共和国预算法》《行政单位财务规则》（财政部令第71号）等法律法规，结合我部实际制定了《中共甘肃省委宣传部财务管理办法》《中共甘肃省委宣传部</w:t>
      </w:r>
      <w:r>
        <w:rPr>
          <w:rFonts w:hint="eastAsia" w:ascii="仿宋_GB2312" w:hAnsi="仿宋_GB2312" w:eastAsia="仿宋_GB2312" w:cs="仿宋_GB2312"/>
          <w:color w:val="auto"/>
          <w:sz w:val="32"/>
          <w:szCs w:val="32"/>
          <w:lang w:val="en-US" w:eastAsia="zh-CN"/>
        </w:rPr>
        <w:t>采购</w:t>
      </w:r>
      <w:r>
        <w:rPr>
          <w:rFonts w:hint="eastAsia" w:ascii="仿宋_GB2312" w:hAnsi="仿宋_GB2312" w:eastAsia="仿宋_GB2312" w:cs="仿宋_GB2312"/>
          <w:color w:val="auto"/>
          <w:sz w:val="32"/>
          <w:szCs w:val="32"/>
        </w:rPr>
        <w:t>管理办法》《中共甘肃省委宣传部</w:t>
      </w:r>
      <w:r>
        <w:rPr>
          <w:rFonts w:hint="eastAsia" w:ascii="仿宋_GB2312" w:hAnsi="仿宋_GB2312" w:eastAsia="仿宋_GB2312" w:cs="仿宋_GB2312"/>
          <w:color w:val="auto"/>
          <w:sz w:val="32"/>
          <w:szCs w:val="32"/>
          <w:lang w:val="en-US" w:eastAsia="zh-CN"/>
        </w:rPr>
        <w:t>国有资产</w:t>
      </w:r>
      <w:r>
        <w:rPr>
          <w:rFonts w:hint="eastAsia" w:ascii="仿宋_GB2312" w:hAnsi="仿宋_GB2312" w:eastAsia="仿宋_GB2312" w:cs="仿宋_GB2312"/>
          <w:color w:val="auto"/>
          <w:sz w:val="32"/>
          <w:szCs w:val="32"/>
        </w:rPr>
        <w:t>管理办法》《中共甘肃省委宣传部</w:t>
      </w:r>
      <w:r>
        <w:rPr>
          <w:rFonts w:hint="eastAsia" w:ascii="仿宋_GB2312" w:hAnsi="仿宋_GB2312" w:eastAsia="仿宋_GB2312" w:cs="仿宋_GB2312"/>
          <w:color w:val="auto"/>
          <w:sz w:val="32"/>
          <w:szCs w:val="32"/>
          <w:lang w:val="en-US" w:eastAsia="zh-CN"/>
        </w:rPr>
        <w:t>合同</w:t>
      </w:r>
      <w:r>
        <w:rPr>
          <w:rFonts w:hint="eastAsia" w:ascii="仿宋_GB2312" w:hAnsi="仿宋_GB2312" w:eastAsia="仿宋_GB2312" w:cs="仿宋_GB2312"/>
          <w:color w:val="auto"/>
          <w:sz w:val="32"/>
          <w:szCs w:val="32"/>
        </w:rPr>
        <w:t>管理办法》</w:t>
      </w:r>
      <w:r>
        <w:rPr>
          <w:rFonts w:hint="eastAsia" w:ascii="仿宋_GB2312" w:hAnsi="仿宋_GB2312" w:eastAsia="仿宋_GB2312" w:cs="仿宋_GB2312"/>
          <w:color w:val="auto"/>
          <w:sz w:val="32"/>
          <w:szCs w:val="32"/>
          <w:lang w:eastAsia="zh-CN"/>
        </w:rPr>
        <w:t>和部分专项资金管理办法</w:t>
      </w:r>
      <w:r>
        <w:rPr>
          <w:rFonts w:hint="eastAsia" w:ascii="仿宋_GB2312" w:hAnsi="仿宋_GB2312" w:eastAsia="仿宋_GB2312" w:cs="仿宋_GB2312"/>
          <w:color w:val="auto"/>
          <w:sz w:val="32"/>
          <w:szCs w:val="32"/>
        </w:rPr>
        <w:t>，财务管理制度</w:t>
      </w:r>
      <w:r>
        <w:rPr>
          <w:rFonts w:hint="eastAsia" w:cs="仿宋_GB2312"/>
          <w:color w:val="auto"/>
          <w:sz w:val="32"/>
          <w:szCs w:val="32"/>
          <w:lang w:val="en-US" w:eastAsia="zh-CN"/>
        </w:rPr>
        <w:t>不断</w:t>
      </w:r>
      <w:r>
        <w:rPr>
          <w:rFonts w:hint="eastAsia" w:ascii="仿宋_GB2312" w:hAnsi="仿宋_GB2312" w:eastAsia="仿宋_GB2312" w:cs="仿宋_GB2312"/>
          <w:color w:val="auto"/>
          <w:sz w:val="32"/>
          <w:szCs w:val="32"/>
        </w:rPr>
        <w:t>健全，</w:t>
      </w:r>
      <w:r>
        <w:rPr>
          <w:rFonts w:hint="eastAsia" w:ascii="仿宋_GB2312" w:hAnsi="仿宋_GB2312" w:eastAsia="仿宋_GB2312" w:cs="仿宋_GB2312"/>
          <w:color w:val="auto"/>
          <w:sz w:val="32"/>
          <w:szCs w:val="32"/>
          <w:lang w:val="en-US" w:eastAsia="zh-CN"/>
        </w:rPr>
        <w:t>在工作中严格执行相关规定，</w:t>
      </w:r>
      <w:r>
        <w:rPr>
          <w:rFonts w:hint="eastAsia" w:ascii="仿宋_GB2312" w:hAnsi="仿宋_GB2312" w:eastAsia="仿宋_GB2312" w:cs="仿宋_GB2312"/>
          <w:color w:val="auto"/>
          <w:sz w:val="32"/>
          <w:szCs w:val="32"/>
        </w:rPr>
        <w:t>达到了既定目标值。指标分值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0.75</w:t>
      </w:r>
      <w:r>
        <w:rPr>
          <w:rFonts w:hint="eastAsia" w:ascii="仿宋_GB2312" w:hAnsi="仿宋_GB2312" w:eastAsia="仿宋_GB2312" w:cs="仿宋_GB2312"/>
          <w:color w:val="auto"/>
          <w:sz w:val="32"/>
          <w:szCs w:val="32"/>
        </w:rPr>
        <w:t>分，得分率为</w:t>
      </w:r>
      <w:r>
        <w:rPr>
          <w:rFonts w:hint="eastAsia" w:ascii="仿宋_GB2312" w:hAnsi="仿宋_GB2312" w:eastAsia="仿宋_GB2312" w:cs="仿宋_GB2312"/>
          <w:color w:val="auto"/>
          <w:sz w:val="32"/>
          <w:szCs w:val="32"/>
          <w:lang w:val="en-US" w:eastAsia="zh-CN"/>
        </w:rPr>
        <w:t>90.36</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资金使用规范性：</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我部根据《会计法》《预算法》《政府会计制度》等法律、行政法规和部门规章，严格按照政府会计制度执行财务会计核算和预算会计核算，管理好财政预算资金，资金支出总体上审批程序合规、手续齐全，支出内容符合财政预算批复规定用途，资金使用比较规范，达到了既定目标值。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0.75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90.36</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政府采购规范性：</w:t>
      </w:r>
      <w:r>
        <w:rPr>
          <w:rFonts w:hint="eastAsia" w:ascii="仿宋_GB2312" w:hAnsi="仿宋_GB2312" w:eastAsia="仿宋_GB2312" w:cs="仿宋_GB2312"/>
          <w:color w:val="auto"/>
          <w:sz w:val="32"/>
          <w:szCs w:val="32"/>
        </w:rPr>
        <w:t>我部政府采购事项严格按照《中华人民共和国政府采购法》《中华人民共和国政府采购法实施条例》等制度执行，部办公室根据各处室下一年度工作需求编制政府采购预算，制</w:t>
      </w:r>
      <w:r>
        <w:rPr>
          <w:rFonts w:hint="eastAsia" w:ascii="仿宋_GB2312" w:hAnsi="仿宋_GB2312" w:eastAsia="仿宋_GB2312" w:cs="仿宋_GB2312"/>
          <w:color w:val="auto"/>
          <w:sz w:val="32"/>
          <w:szCs w:val="32"/>
          <w:lang w:eastAsia="zh-CN"/>
        </w:rPr>
        <w:t>定</w:t>
      </w:r>
      <w:r>
        <w:rPr>
          <w:rFonts w:hint="eastAsia" w:ascii="仿宋_GB2312" w:hAnsi="仿宋_GB2312" w:eastAsia="仿宋_GB2312" w:cs="仿宋_GB2312"/>
          <w:color w:val="auto"/>
          <w:sz w:val="32"/>
          <w:szCs w:val="32"/>
        </w:rPr>
        <w:t>政府采购计划，无政府采购预算但确需追加的采购项目，须报省财政厅批准后方可采购，未经审批不得自行采购，实施采购事项时，按照规定办理政府采购手续、执行采购物品验收程序、保存政府采购业务档案等，采购业务符合政府采购相关规定，达到了既定目标值。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分，按评分标准得分</w:t>
      </w:r>
      <w:r>
        <w:rPr>
          <w:rFonts w:hint="eastAsia" w:ascii="仿宋_GB2312" w:hAnsi="仿宋_GB2312" w:eastAsia="仿宋_GB2312" w:cs="仿宋_GB2312"/>
          <w:color w:val="auto"/>
          <w:sz w:val="32"/>
          <w:szCs w:val="32"/>
          <w:lang w:val="en-US" w:eastAsia="zh-CN"/>
        </w:rPr>
        <w:t>0.75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90.36</w:t>
      </w:r>
      <w:r>
        <w:rPr>
          <w:rFonts w:hint="eastAsia" w:ascii="仿宋_GB2312" w:hAnsi="仿宋_GB2312" w:eastAsia="仿宋_GB2312" w:cs="仿宋_GB2312"/>
          <w:color w:val="auto"/>
          <w:sz w:val="32"/>
          <w:szCs w:val="32"/>
        </w:rPr>
        <w:t>%。</w:t>
      </w:r>
    </w:p>
    <w:p>
      <w:pPr>
        <w:pStyle w:val="2"/>
        <w:keepNext w:val="0"/>
        <w:keepLines w:val="0"/>
        <w:pageBreakBefore w:val="0"/>
        <w:kinsoku/>
        <w:wordWrap/>
        <w:overflowPunct/>
        <w:autoSpaceDE/>
        <w:autoSpaceDN/>
        <w:bidi w:val="0"/>
        <w:spacing w:line="600" w:lineRule="exact"/>
        <w:ind w:left="0" w:leftChars="0" w:firstLine="643"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政府采购节约率：</w:t>
      </w:r>
      <w:r>
        <w:rPr>
          <w:rFonts w:hint="eastAsia" w:ascii="仿宋_GB2312" w:hAnsi="仿宋_GB2312" w:eastAsia="仿宋_GB2312" w:cs="仿宋_GB2312"/>
          <w:color w:val="auto"/>
          <w:kern w:val="2"/>
          <w:sz w:val="32"/>
          <w:szCs w:val="32"/>
          <w:lang w:val="en-US" w:eastAsia="zh-CN" w:bidi="ar-SA"/>
        </w:rPr>
        <w:t>2025年，我部政府采购项目严格遵照政府采购相关法律法规，规范履行采购程序，通过充分引入市场竞争，有效控制采购成本，切实提升了财政资金的使用效益，经测算，政府采购节约率约为2%，资金节约成效明显，达到了既定目标值。指标分值0.83分，按评分标准得分0.83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资产管理规范性：</w:t>
      </w:r>
      <w:r>
        <w:rPr>
          <w:rFonts w:hint="eastAsia" w:ascii="仿宋_GB2312" w:hAnsi="仿宋_GB2312" w:eastAsia="仿宋_GB2312" w:cs="仿宋_GB2312"/>
          <w:color w:val="auto"/>
          <w:sz w:val="32"/>
          <w:szCs w:val="32"/>
        </w:rPr>
        <w:t>针对资产管理工作，我部严格按照《甘肃省行政事业单位国有资产管理办法》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中共甘肃省委宣传部国有资产管理办法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rPr>
        <w:t>执行，资产管理遵循资产管理与预算管理相结合、资产管理与财务管理相结合、实物管理与价值管理相结合的原则，资产管理制度健全，各类资产保存完整、使用合规、配置合理、处置规范，达到了既定目标值。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0.75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90.36</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固定资产利用率：</w:t>
      </w:r>
      <w:r>
        <w:rPr>
          <w:rFonts w:hint="eastAsia" w:ascii="仿宋_GB2312" w:hAnsi="仿宋_GB2312" w:eastAsia="仿宋_GB2312" w:cs="仿宋_GB2312"/>
          <w:color w:val="auto"/>
          <w:sz w:val="32"/>
          <w:szCs w:val="32"/>
          <w:lang w:val="en-US" w:eastAsia="zh-CN"/>
        </w:rPr>
        <w:t>2025年我部固定资产利用状况良好，资产利用率保持在90%左右，使用效益得到有效发挥，较好保障了单位各项工作正常开展。</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2"/>
          <w:sz w:val="32"/>
          <w:szCs w:val="32"/>
          <w:lang w:val="en-US" w:eastAsia="zh-CN" w:bidi="ar-SA"/>
        </w:rPr>
        <w:t>人员管理规范性：</w:t>
      </w:r>
      <w:r>
        <w:rPr>
          <w:rFonts w:hint="eastAsia" w:ascii="仿宋_GB2312" w:hAnsi="仿宋_GB2312" w:eastAsia="仿宋_GB2312" w:cs="仿宋_GB2312"/>
          <w:color w:val="auto"/>
          <w:sz w:val="32"/>
          <w:szCs w:val="32"/>
        </w:rPr>
        <w:t>截</w:t>
      </w:r>
      <w:r>
        <w:rPr>
          <w:rFonts w:hint="eastAsia" w:ascii="仿宋_GB2312" w:hAnsi="仿宋_GB2312" w:eastAsia="仿宋_GB2312" w:cs="仿宋_GB2312"/>
          <w:color w:val="auto"/>
          <w:sz w:val="32"/>
          <w:szCs w:val="32"/>
          <w:lang w:eastAsia="zh-CN"/>
        </w:rPr>
        <w:t>至</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年底，我部在职人员控制率为</w:t>
      </w:r>
      <w:r>
        <w:rPr>
          <w:rFonts w:hint="eastAsia" w:ascii="仿宋_GB2312" w:hAnsi="仿宋_GB2312" w:eastAsia="仿宋_GB2312" w:cs="仿宋_GB2312"/>
          <w:color w:val="auto"/>
          <w:sz w:val="32"/>
          <w:szCs w:val="32"/>
          <w:lang w:val="en-US" w:eastAsia="zh-CN"/>
        </w:rPr>
        <w:t>91.67</w:t>
      </w:r>
      <w:r>
        <w:rPr>
          <w:rFonts w:hint="eastAsia" w:ascii="仿宋_GB2312" w:hAnsi="仿宋_GB2312" w:eastAsia="仿宋_GB2312" w:cs="仿宋_GB2312"/>
          <w:color w:val="auto"/>
          <w:sz w:val="32"/>
          <w:szCs w:val="32"/>
        </w:rPr>
        <w:t>%，人员管理较为规范，部门整体财政供养人员</w:t>
      </w:r>
      <w:r>
        <w:rPr>
          <w:rFonts w:hint="eastAsia" w:ascii="仿宋_GB2312" w:hAnsi="仿宋_GB2312" w:eastAsia="仿宋_GB2312" w:cs="仿宋_GB2312"/>
          <w:color w:val="auto"/>
          <w:sz w:val="32"/>
          <w:szCs w:val="32"/>
          <w:lang w:val="en-US" w:eastAsia="zh-CN"/>
        </w:rPr>
        <w:t>规模管控到位</w:t>
      </w:r>
      <w:r>
        <w:rPr>
          <w:rFonts w:hint="eastAsia" w:ascii="仿宋_GB2312" w:hAnsi="仿宋_GB2312" w:eastAsia="仿宋_GB2312" w:cs="仿宋_GB2312"/>
          <w:color w:val="auto"/>
          <w:sz w:val="32"/>
          <w:szCs w:val="32"/>
        </w:rPr>
        <w:t>，符合要求。指标分值</w:t>
      </w:r>
      <w:r>
        <w:rPr>
          <w:rFonts w:hint="eastAsia" w:ascii="仿宋_GB2312" w:hAnsi="仿宋_GB2312" w:eastAsia="仿宋_GB2312" w:cs="仿宋_GB2312"/>
          <w:color w:val="auto"/>
          <w:sz w:val="32"/>
          <w:szCs w:val="32"/>
          <w:lang w:val="en-US" w:eastAsia="zh-CN"/>
        </w:rPr>
        <w:t>0.83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0.75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90.36</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预算绩效管理工作成效</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lang w:val="en-US" w:eastAsia="zh-CN"/>
        </w:rPr>
        <w:t>全年扎实推进预算绩效管理各项工作，健全全过程预算绩效管理体系，严格绩效目标编制、运行监控与绩效评价实施，强化评价结果运用与预算挂钩机制。通过精准把控资金投向、优化资源配置、提升支出效益，有效提高财政资金使用规范性与有效性，切实做到花钱必问效、无效必问责，预算管理科学化、精细化水平持续提升。</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0.87</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0.78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89.66</w:t>
      </w:r>
      <w:r>
        <w:rPr>
          <w:rFonts w:hint="eastAsia" w:ascii="仿宋_GB2312" w:hAnsi="仿宋_GB2312" w:eastAsia="仿宋_GB2312" w:cs="仿宋_GB2312"/>
          <w:color w:val="auto"/>
          <w:sz w:val="32"/>
          <w:szCs w:val="32"/>
        </w:rPr>
        <w:t>%。</w:t>
      </w:r>
    </w:p>
    <w:p>
      <w:pPr>
        <w:pStyle w:val="6"/>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3.重点履职</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重点履职指标</w:t>
      </w:r>
      <w:r>
        <w:rPr>
          <w:rFonts w:hint="eastAsia" w:ascii="仿宋_GB2312" w:hAnsi="仿宋_GB2312" w:eastAsia="仿宋_GB2312" w:cs="仿宋_GB2312"/>
          <w:color w:val="auto"/>
          <w:sz w:val="32"/>
          <w:szCs w:val="32"/>
        </w:rPr>
        <w:t>下设</w:t>
      </w:r>
      <w:r>
        <w:rPr>
          <w:rFonts w:hint="eastAsia" w:ascii="仿宋_GB2312" w:hAnsi="仿宋_GB2312" w:eastAsia="仿宋_GB2312" w:cs="仿宋_GB2312"/>
          <w:color w:val="auto"/>
          <w:sz w:val="32"/>
          <w:szCs w:val="32"/>
          <w:lang w:val="en-US" w:eastAsia="zh-CN"/>
        </w:rPr>
        <w:t>4个二级指标、34</w:t>
      </w:r>
      <w:r>
        <w:rPr>
          <w:rFonts w:hint="eastAsia" w:ascii="仿宋_GB2312" w:hAnsi="仿宋_GB2312" w:eastAsia="仿宋_GB2312" w:cs="仿宋_GB2312"/>
          <w:color w:val="auto"/>
          <w:sz w:val="32"/>
          <w:szCs w:val="32"/>
        </w:rPr>
        <w:t>个三级指标，分值合计</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分，自评得分</w:t>
      </w:r>
      <w:r>
        <w:rPr>
          <w:rFonts w:hint="eastAsia" w:ascii="仿宋_GB2312" w:hAnsi="仿宋_GB2312" w:eastAsia="仿宋_GB2312" w:cs="仿宋_GB2312"/>
          <w:color w:val="auto"/>
          <w:sz w:val="32"/>
          <w:szCs w:val="32"/>
          <w:lang w:val="en-US" w:eastAsia="zh-CN"/>
        </w:rPr>
        <w:t>27.58</w:t>
      </w:r>
      <w:r>
        <w:rPr>
          <w:rFonts w:hint="eastAsia" w:ascii="仿宋_GB2312" w:hAnsi="仿宋_GB2312" w:eastAsia="仿宋_GB2312" w:cs="仿宋_GB2312"/>
          <w:color w:val="auto"/>
          <w:sz w:val="32"/>
          <w:szCs w:val="32"/>
        </w:rPr>
        <w:t>分，得分率为</w:t>
      </w:r>
      <w:r>
        <w:rPr>
          <w:rFonts w:hint="eastAsia" w:ascii="仿宋_GB2312" w:hAnsi="仿宋_GB2312" w:eastAsia="仿宋_GB2312" w:cs="仿宋_GB2312"/>
          <w:color w:val="auto"/>
          <w:sz w:val="32"/>
          <w:szCs w:val="32"/>
          <w:lang w:val="en-US" w:eastAsia="zh-CN"/>
        </w:rPr>
        <w:t>91.93</w:t>
      </w:r>
      <w:r>
        <w:rPr>
          <w:rFonts w:hint="eastAsia" w:ascii="仿宋_GB2312" w:hAnsi="仿宋_GB2312" w:eastAsia="仿宋_GB2312" w:cs="仿宋_GB2312"/>
          <w:color w:val="auto"/>
          <w:sz w:val="32"/>
          <w:szCs w:val="32"/>
        </w:rPr>
        <w:t>%。</w:t>
      </w:r>
    </w:p>
    <w:p>
      <w:pPr>
        <w:keepNext w:val="0"/>
        <w:keepLines w:val="0"/>
        <w:pageBreakBefore w:val="0"/>
        <w:kinsoku/>
        <w:wordWrap/>
        <w:overflowPunct/>
        <w:autoSpaceDE/>
        <w:autoSpaceDN/>
        <w:bidi w:val="0"/>
        <w:spacing w:line="600" w:lineRule="exact"/>
        <w:ind w:left="0" w:leftChars="0"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年度对外宣传、推广工作完成率</w:t>
      </w:r>
    </w:p>
    <w:p>
      <w:pPr>
        <w:keepNext w:val="0"/>
        <w:keepLines w:val="0"/>
        <w:pageBreakBefore w:val="0"/>
        <w:kinsoku/>
        <w:wordWrap/>
        <w:overflowPunct/>
        <w:autoSpaceDE/>
        <w:autoSpaceDN/>
        <w:bidi w:val="0"/>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w:t>
      </w:r>
      <w:r>
        <w:rPr>
          <w:rFonts w:hint="eastAsia" w:ascii="仿宋_GB2312" w:hAnsi="仿宋_GB2312" w:eastAsia="仿宋_GB2312" w:cs="仿宋_GB2312"/>
          <w:sz w:val="32"/>
          <w:szCs w:val="32"/>
          <w:lang w:val="en-US" w:eastAsia="zh-CN"/>
        </w:rPr>
        <w:t>级</w:t>
      </w:r>
      <w:r>
        <w:rPr>
          <w:rFonts w:hint="eastAsia" w:ascii="仿宋_GB2312" w:hAnsi="仿宋_GB2312" w:eastAsia="仿宋_GB2312" w:cs="仿宋_GB2312"/>
          <w:sz w:val="32"/>
          <w:szCs w:val="32"/>
        </w:rPr>
        <w:t>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围绕省委省政府中心工作，统筹推进对外宣传和推广工作，通过加强与中央媒体的合作，策划系列主题宣传活动，全面展示我省经济社会发展成就和文化旅游资源。注重宣传内容的创新性和传播方式的多样性，充分利用新媒体平台扩大传播覆盖面，提升宣传效果。同时，加强对外宣传队伍建设，提升工作人员的专业素养和业务能力，确保宣传工作的质量和效率。下一步，将进一步</w:t>
      </w:r>
      <w:r>
        <w:rPr>
          <w:rFonts w:hint="eastAsia" w:ascii="仿宋_GB2312" w:hAnsi="仿宋_GB2312" w:eastAsia="仿宋_GB2312" w:cs="仿宋_GB2312"/>
          <w:sz w:val="32"/>
          <w:szCs w:val="32"/>
          <w:lang w:val="en-US" w:eastAsia="zh-CN"/>
        </w:rPr>
        <w:t>健全</w:t>
      </w:r>
      <w:r>
        <w:rPr>
          <w:rFonts w:hint="eastAsia" w:ascii="仿宋_GB2312" w:hAnsi="仿宋_GB2312" w:eastAsia="仿宋_GB2312" w:cs="仿宋_GB2312"/>
          <w:sz w:val="32"/>
          <w:szCs w:val="32"/>
        </w:rPr>
        <w:t>对外宣传机制，创新宣传手段，</w:t>
      </w:r>
      <w:r>
        <w:rPr>
          <w:rFonts w:hint="eastAsia" w:ascii="仿宋_GB2312" w:hAnsi="仿宋_GB2312" w:eastAsia="仿宋_GB2312" w:cs="仿宋_GB2312"/>
          <w:sz w:val="32"/>
          <w:szCs w:val="32"/>
          <w:lang w:val="en-US" w:eastAsia="zh-CN"/>
        </w:rPr>
        <w:t>全面</w:t>
      </w:r>
      <w:r>
        <w:rPr>
          <w:rFonts w:hint="eastAsia" w:ascii="仿宋_GB2312" w:hAnsi="仿宋_GB2312" w:eastAsia="仿宋_GB2312" w:cs="仿宋_GB2312"/>
          <w:sz w:val="32"/>
          <w:szCs w:val="32"/>
        </w:rPr>
        <w:t>提升我省对外形象和文化软实力。</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征集电影剧本工作完成率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高度重视电影剧本征集工作，将其作为繁荣文艺创作的重要抓手，通过广泛发动、精心组织，确保剧本征集任务的圆满完成。在征集过程中注重剧本的质量和导向，严格把关，确保征集到的剧本符合社会主义核心价值观和艺术创作规律。同时，加强与编剧、制作单位的沟通协调，为优秀剧本的转化和拍摄创造条件。下一步，将进一步完善剧本征集和评审机制，提升征集工作规范性和科学性，推动更多优秀剧本创作和转化。</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电影审查工作完成率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严格按照国家电影审查标准和要求，认真履行电影审查职责，确保审查工作的规范性和时效性。在审查过程中注重内容把关和艺术评价，既保障了电影作品的思想性和艺术性，又促进了电影产业的健康发展。同时，加强与电影制作单位的沟通指导，帮助提升电影创作质量。下一步，将进一步</w:t>
      </w:r>
      <w:r>
        <w:rPr>
          <w:rFonts w:hint="eastAsia" w:ascii="仿宋_GB2312" w:hAnsi="仿宋_GB2312" w:eastAsia="仿宋_GB2312" w:cs="仿宋_GB2312"/>
          <w:sz w:val="32"/>
          <w:szCs w:val="32"/>
          <w:lang w:val="en-US" w:eastAsia="zh-CN"/>
        </w:rPr>
        <w:t>优化</w:t>
      </w:r>
      <w:r>
        <w:rPr>
          <w:rFonts w:hint="eastAsia" w:ascii="仿宋_GB2312" w:hAnsi="仿宋_GB2312" w:eastAsia="仿宋_GB2312" w:cs="仿宋_GB2312"/>
          <w:sz w:val="32"/>
          <w:szCs w:val="32"/>
        </w:rPr>
        <w:t>审查流程，提升审查效率，为电影创作提供更</w:t>
      </w:r>
      <w:r>
        <w:rPr>
          <w:rFonts w:hint="eastAsia" w:ascii="仿宋_GB2312" w:hAnsi="仿宋_GB2312" w:eastAsia="仿宋_GB2312" w:cs="仿宋_GB2312"/>
          <w:sz w:val="32"/>
          <w:szCs w:val="32"/>
          <w:lang w:val="en-US" w:eastAsia="zh-CN"/>
        </w:rPr>
        <w:t>优质高效</w:t>
      </w:r>
      <w:r>
        <w:rPr>
          <w:rFonts w:hint="eastAsia" w:ascii="仿宋_GB2312" w:hAnsi="仿宋_GB2312" w:eastAsia="仿宋_GB2312" w:cs="仿宋_GB2312"/>
          <w:sz w:val="32"/>
          <w:szCs w:val="32"/>
        </w:rPr>
        <w:t>的服务和支持。</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版权作品登记工作完成率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积极推进版权作品登记工作，通过简化流程、优化服务，提高登记工作的效率和便利性。注重宣传版权保护知识，提升社会公众的版权意识，鼓励更多的创作者进行作品登记。同时，加强版权登记信息化建设，提升登记工作的规范性和透明度。下一步，将进一步</w:t>
      </w:r>
      <w:r>
        <w:rPr>
          <w:rFonts w:hint="eastAsia" w:ascii="仿宋_GB2312" w:hAnsi="仿宋_GB2312" w:eastAsia="仿宋_GB2312" w:cs="仿宋_GB2312"/>
          <w:sz w:val="32"/>
          <w:szCs w:val="32"/>
          <w:lang w:val="en-US" w:eastAsia="zh-CN"/>
        </w:rPr>
        <w:t>健全</w:t>
      </w:r>
      <w:r>
        <w:rPr>
          <w:rFonts w:hint="eastAsia" w:ascii="仿宋_GB2312" w:hAnsi="仿宋_GB2312" w:eastAsia="仿宋_GB2312" w:cs="仿宋_GB2312"/>
          <w:sz w:val="32"/>
          <w:szCs w:val="32"/>
        </w:rPr>
        <w:t>版权服务体系，扩大登记覆盖面，为创作者提供更加便捷</w:t>
      </w:r>
      <w:r>
        <w:rPr>
          <w:rFonts w:hint="eastAsia" w:ascii="仿宋_GB2312" w:hAnsi="仿宋_GB2312" w:eastAsia="仿宋_GB2312" w:cs="仿宋_GB2312"/>
          <w:sz w:val="32"/>
          <w:szCs w:val="32"/>
          <w:lang w:val="en-US" w:eastAsia="zh-CN"/>
        </w:rPr>
        <w:t>高效</w:t>
      </w:r>
      <w:r>
        <w:rPr>
          <w:rFonts w:hint="eastAsia" w:ascii="仿宋_GB2312" w:hAnsi="仿宋_GB2312" w:eastAsia="仿宋_GB2312" w:cs="仿宋_GB2312"/>
          <w:sz w:val="32"/>
          <w:szCs w:val="32"/>
        </w:rPr>
        <w:t>的版权保护服务。</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组织开展培训工作完成率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围绕宣传思想文化工作需要，精心组织各类培训活动，通过线上线下相结合的方式，提升培训的覆盖面和效果。注重培训内容的针对性和实用性，邀请专家学者授课，确保培训质量。同时，加强培训管理，做好培训效果评估，不断提升培训工作的科学性和有效性。下一步，将进一步完善培训体系，创新培训方式，为干部人才队伍建设提供更</w:t>
      </w:r>
      <w:r>
        <w:rPr>
          <w:rFonts w:hint="eastAsia" w:ascii="仿宋_GB2312" w:hAnsi="仿宋_GB2312" w:eastAsia="仿宋_GB2312" w:cs="仿宋_GB2312"/>
          <w:sz w:val="32"/>
          <w:szCs w:val="32"/>
          <w:lang w:val="en-US" w:eastAsia="zh-CN"/>
        </w:rPr>
        <w:t>坚实</w:t>
      </w:r>
      <w:r>
        <w:rPr>
          <w:rFonts w:hint="eastAsia" w:ascii="仿宋_GB2312" w:hAnsi="仿宋_GB2312" w:eastAsia="仿宋_GB2312" w:cs="仿宋_GB2312"/>
          <w:sz w:val="32"/>
          <w:szCs w:val="32"/>
        </w:rPr>
        <w:t>支撑。</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年度信息化运行维护工作完成率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完成率为100%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分值0.88分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高度重视信息化建设，通过加强日常运行维护，确保信息系统安全稳定运行。注重信息化设备的更新升级，提升信息化应用水平，为各项工作开展提供了有力技术支撑。同时，加强网络安全防护，做好数据备份和应急处理，保障了信息安全。下一步，将进一步</w:t>
      </w:r>
      <w:r>
        <w:rPr>
          <w:rFonts w:hint="eastAsia" w:ascii="仿宋_GB2312" w:hAnsi="仿宋_GB2312" w:eastAsia="仿宋_GB2312" w:cs="仿宋_GB2312"/>
          <w:sz w:val="32"/>
          <w:szCs w:val="32"/>
          <w:lang w:val="en-US" w:eastAsia="zh-CN"/>
        </w:rPr>
        <w:t>深化</w:t>
      </w:r>
      <w:r>
        <w:rPr>
          <w:rFonts w:hint="eastAsia" w:ascii="仿宋_GB2312" w:hAnsi="仿宋_GB2312" w:eastAsia="仿宋_GB2312" w:cs="仿宋_GB2312"/>
          <w:sz w:val="32"/>
          <w:szCs w:val="32"/>
        </w:rPr>
        <w:t>信息化建设，提升信息化服务能力，为宣传思想文化工作提供更加智能</w:t>
      </w:r>
      <w:r>
        <w:rPr>
          <w:rFonts w:hint="eastAsia" w:ascii="仿宋_GB2312" w:hAnsi="仿宋_GB2312" w:eastAsia="仿宋_GB2312" w:cs="仿宋_GB2312"/>
          <w:sz w:val="32"/>
          <w:szCs w:val="32"/>
          <w:lang w:val="en-US" w:eastAsia="zh-CN"/>
        </w:rPr>
        <w:t>高效</w:t>
      </w:r>
      <w:r>
        <w:rPr>
          <w:rFonts w:hint="eastAsia" w:ascii="仿宋_GB2312" w:hAnsi="仿宋_GB2312" w:eastAsia="仿宋_GB2312" w:cs="仿宋_GB2312"/>
          <w:sz w:val="32"/>
          <w:szCs w:val="32"/>
        </w:rPr>
        <w:t>的支持。</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年度政务窗口受理事项办结率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坚持以人民为中心的发展思想，通过优化服务流程、提升服务效率，确保政务窗口事项的高效办结。注重服务质量的提升，加强窗口工作人员培训，推行微笑服务、首问负责等制度，提高了群众满意度。同时，推进政务服务信息化建设，实现线上线下融合办理，方便群众办事。下一步，将进一步深化“放管服”改革，提升政务服务水平，打造更加优质高效的政务服务环境。</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调研成果利用率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注重调查研究工作，通过深入基层、深入实际，形成了一批高质量的调研成果。加强调研成果的转化应用，将调研中发现的问题和提出的建议转化为工作举措和政策文件，切实发挥调研的决策参考作用。同时，建立调研成果共享机制，促进成果的交流和利用。下一步，将进一步</w:t>
      </w:r>
      <w:r>
        <w:rPr>
          <w:rFonts w:hint="eastAsia" w:ascii="仿宋_GB2312" w:hAnsi="仿宋_GB2312" w:eastAsia="仿宋_GB2312" w:cs="仿宋_GB2312"/>
          <w:sz w:val="32"/>
          <w:szCs w:val="32"/>
          <w:lang w:val="en-US" w:eastAsia="zh-CN"/>
        </w:rPr>
        <w:t>健全</w:t>
      </w:r>
      <w:r>
        <w:rPr>
          <w:rFonts w:hint="eastAsia" w:ascii="仿宋_GB2312" w:hAnsi="仿宋_GB2312" w:eastAsia="仿宋_GB2312" w:cs="仿宋_GB2312"/>
          <w:sz w:val="32"/>
          <w:szCs w:val="32"/>
        </w:rPr>
        <w:t>调研工作机制，提升调研质量和成果转化率，为科学决策提供更有力支撑。</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组织开展</w:t>
      </w:r>
      <w:r>
        <w:rPr>
          <w:rFonts w:hint="eastAsia" w:ascii="仿宋_GB2312" w:hAnsi="仿宋_GB2312" w:eastAsia="仿宋_GB2312" w:cs="仿宋_GB2312"/>
          <w:b/>
          <w:sz w:val="32"/>
          <w:szCs w:val="32"/>
          <w:lang w:val="en-US" w:eastAsia="zh-CN"/>
        </w:rPr>
        <w:t>宣传</w:t>
      </w:r>
      <w:r>
        <w:rPr>
          <w:rFonts w:hint="eastAsia" w:ascii="仿宋_GB2312" w:hAnsi="仿宋_GB2312" w:eastAsia="仿宋_GB2312" w:cs="仿宋_GB2312"/>
          <w:b/>
          <w:sz w:val="32"/>
          <w:szCs w:val="32"/>
        </w:rPr>
        <w:t>思想文化工作完成率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我部严格按照中宣部和省委省政府的工作安排</w:t>
      </w:r>
      <w:r>
        <w:rPr>
          <w:rFonts w:hint="eastAsia" w:ascii="仿宋_GB2312" w:hAnsi="仿宋_GB2312" w:eastAsia="仿宋_GB2312" w:cs="仿宋_GB2312"/>
          <w:sz w:val="32"/>
          <w:szCs w:val="32"/>
        </w:rPr>
        <w:t>，通过制定</w:t>
      </w:r>
      <w:r>
        <w:rPr>
          <w:rFonts w:hint="eastAsia" w:ascii="仿宋_GB2312" w:hAnsi="仿宋_GB2312" w:eastAsia="仿宋_GB2312" w:cs="仿宋_GB2312"/>
          <w:sz w:val="32"/>
          <w:szCs w:val="32"/>
          <w:lang w:val="en-US" w:eastAsia="zh-CN"/>
        </w:rPr>
        <w:t>全年重点工作经费预算支出计划，</w:t>
      </w:r>
      <w:r>
        <w:rPr>
          <w:rFonts w:hint="eastAsia" w:ascii="仿宋_GB2312" w:hAnsi="仿宋_GB2312" w:eastAsia="仿宋_GB2312" w:cs="仿宋_GB2312"/>
          <w:sz w:val="32"/>
          <w:szCs w:val="32"/>
        </w:rPr>
        <w:t>明确</w:t>
      </w:r>
      <w:r>
        <w:rPr>
          <w:rFonts w:hint="eastAsia" w:ascii="仿宋_GB2312" w:hAnsi="仿宋_GB2312" w:eastAsia="仿宋_GB2312" w:cs="仿宋_GB2312"/>
          <w:sz w:val="32"/>
          <w:szCs w:val="32"/>
          <w:lang w:val="en-US" w:eastAsia="zh-CN"/>
        </w:rPr>
        <w:t>任务</w:t>
      </w:r>
      <w:r>
        <w:rPr>
          <w:rFonts w:hint="eastAsia" w:ascii="仿宋_GB2312" w:hAnsi="仿宋_GB2312" w:eastAsia="仿宋_GB2312" w:cs="仿宋_GB2312"/>
          <w:sz w:val="32"/>
          <w:szCs w:val="32"/>
        </w:rPr>
        <w:t>分工、</w:t>
      </w:r>
      <w:r>
        <w:rPr>
          <w:rFonts w:hint="eastAsia" w:ascii="仿宋_GB2312" w:hAnsi="仿宋_GB2312" w:eastAsia="仿宋_GB2312" w:cs="仿宋_GB2312"/>
          <w:sz w:val="32"/>
          <w:szCs w:val="32"/>
          <w:lang w:val="en-US" w:eastAsia="zh-CN"/>
        </w:rPr>
        <w:t>完成时限和具体预算</w:t>
      </w:r>
      <w:r>
        <w:rPr>
          <w:rFonts w:hint="eastAsia" w:ascii="仿宋_GB2312" w:hAnsi="仿宋_GB2312" w:eastAsia="仿宋_GB2312" w:cs="仿宋_GB2312"/>
          <w:sz w:val="32"/>
          <w:szCs w:val="32"/>
        </w:rPr>
        <w:t>，确保</w:t>
      </w:r>
      <w:r>
        <w:rPr>
          <w:rFonts w:hint="eastAsia" w:ascii="仿宋_GB2312" w:hAnsi="仿宋_GB2312" w:eastAsia="仿宋_GB2312" w:cs="仿宋_GB2312"/>
          <w:sz w:val="32"/>
          <w:szCs w:val="32"/>
          <w:lang w:val="en-US" w:eastAsia="zh-CN"/>
        </w:rPr>
        <w:t>全年</w:t>
      </w:r>
      <w:r>
        <w:rPr>
          <w:rFonts w:hint="eastAsia" w:ascii="仿宋_GB2312" w:hAnsi="仿宋_GB2312" w:eastAsia="仿宋_GB2312" w:cs="仿宋_GB2312"/>
          <w:sz w:val="32"/>
          <w:szCs w:val="32"/>
        </w:rPr>
        <w:t>宣传</w:t>
      </w:r>
      <w:r>
        <w:rPr>
          <w:rFonts w:hint="eastAsia" w:ascii="仿宋_GB2312" w:hAnsi="仿宋_GB2312" w:eastAsia="仿宋_GB2312" w:cs="仿宋_GB2312"/>
          <w:sz w:val="32"/>
          <w:szCs w:val="32"/>
          <w:lang w:val="en-US" w:eastAsia="zh-CN"/>
        </w:rPr>
        <w:t>思想文化各项</w:t>
      </w:r>
      <w:r>
        <w:rPr>
          <w:rFonts w:hint="eastAsia" w:ascii="仿宋_GB2312" w:hAnsi="仿宋_GB2312" w:eastAsia="仿宋_GB2312" w:cs="仿宋_GB2312"/>
          <w:sz w:val="32"/>
          <w:szCs w:val="32"/>
        </w:rPr>
        <w:t>任务的圆满完成。在工作中注重创新方式方法，充分利用新媒体平台，扩大宣传覆盖面，提升宣传效果。同时，加强与基层单位的沟通协作，确保宣传</w:t>
      </w:r>
      <w:r>
        <w:rPr>
          <w:rFonts w:hint="eastAsia" w:ascii="仿宋_GB2312" w:hAnsi="仿宋_GB2312" w:eastAsia="仿宋_GB2312" w:cs="仿宋_GB2312"/>
          <w:sz w:val="32"/>
          <w:szCs w:val="32"/>
          <w:lang w:val="en-US" w:eastAsia="zh-CN"/>
        </w:rPr>
        <w:t>思想文化</w:t>
      </w:r>
      <w:r>
        <w:rPr>
          <w:rFonts w:hint="eastAsia" w:ascii="仿宋_GB2312" w:hAnsi="仿宋_GB2312" w:eastAsia="仿宋_GB2312" w:cs="仿宋_GB2312"/>
          <w:sz w:val="32"/>
          <w:szCs w:val="32"/>
        </w:rPr>
        <w:t>工作深入基层、深入人心。下一步，将继续优化宣传</w:t>
      </w:r>
      <w:r>
        <w:rPr>
          <w:rFonts w:hint="eastAsia" w:cs="仿宋_GB2312"/>
          <w:sz w:val="32"/>
          <w:szCs w:val="32"/>
          <w:lang w:val="en-US" w:eastAsia="zh-CN"/>
        </w:rPr>
        <w:t>方式方法</w:t>
      </w:r>
      <w:r>
        <w:rPr>
          <w:rFonts w:hint="eastAsia" w:ascii="仿宋_GB2312" w:hAnsi="仿宋_GB2312" w:eastAsia="仿宋_GB2312" w:cs="仿宋_GB2312"/>
          <w:sz w:val="32"/>
          <w:szCs w:val="32"/>
        </w:rPr>
        <w:t>，提升宣传</w:t>
      </w:r>
      <w:r>
        <w:rPr>
          <w:rFonts w:hint="eastAsia" w:ascii="仿宋_GB2312" w:hAnsi="仿宋_GB2312" w:eastAsia="仿宋_GB2312" w:cs="仿宋_GB2312"/>
          <w:sz w:val="32"/>
          <w:szCs w:val="32"/>
          <w:lang w:val="en-US" w:eastAsia="zh-CN"/>
        </w:rPr>
        <w:t>思想文化工作</w:t>
      </w:r>
      <w:r>
        <w:rPr>
          <w:rFonts w:hint="eastAsia" w:ascii="仿宋_GB2312" w:hAnsi="仿宋_GB2312" w:eastAsia="仿宋_GB2312" w:cs="仿宋_GB2312"/>
          <w:sz w:val="32"/>
          <w:szCs w:val="32"/>
        </w:rPr>
        <w:t>内容针对性，</w:t>
      </w:r>
      <w:r>
        <w:rPr>
          <w:rFonts w:hint="eastAsia" w:ascii="仿宋_GB2312" w:hAnsi="仿宋_GB2312" w:eastAsia="仿宋_GB2312" w:cs="仿宋_GB2312"/>
          <w:sz w:val="32"/>
          <w:szCs w:val="32"/>
          <w:lang w:val="en-US" w:eastAsia="zh-CN"/>
        </w:rPr>
        <w:t>持续增强宣传思想文化工作</w:t>
      </w:r>
      <w:r>
        <w:rPr>
          <w:rFonts w:hint="eastAsia" w:ascii="仿宋_GB2312" w:hAnsi="仿宋_GB2312" w:eastAsia="仿宋_GB2312" w:cs="仿宋_GB2312"/>
          <w:sz w:val="32"/>
          <w:szCs w:val="32"/>
        </w:rPr>
        <w:t>影响力。</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年度理论研究工作完成率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高度重视理论研究工作，通过设立专项研究课题、加强学术交流等措施，确保研究任务的顺利完成。在研究中注重理论与实践相结合，形成了一批高质量的研究成果，为省委决策提供了理论支持。下一步，将继续深化理论研究，加强成果转化应用，进一步提升理论研究实践指导价值。</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年度专项巡视督查工作完成率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将专项巡视督查工作作为加强党的建设、推动工作落实的重要手段，通过制定详细的督查方案、明确督查重点、加强督查队伍建设等措施，确保督查任务的圆满完成。在督查工作中注重问题导向，强化整改落实，有效推动了各项工作的规范化和制度化。下一步，将继续完善督查机制，提升督查工作精准性和实效性，</w:t>
      </w:r>
      <w:r>
        <w:rPr>
          <w:rFonts w:hint="eastAsia" w:ascii="仿宋_GB2312" w:hAnsi="仿宋_GB2312" w:eastAsia="仿宋_GB2312" w:cs="仿宋_GB2312"/>
          <w:sz w:val="32"/>
          <w:szCs w:val="32"/>
          <w:lang w:val="en-US" w:eastAsia="zh-CN"/>
        </w:rPr>
        <w:t>充分</w:t>
      </w:r>
      <w:r>
        <w:rPr>
          <w:rFonts w:hint="eastAsia" w:ascii="仿宋_GB2312" w:hAnsi="仿宋_GB2312" w:eastAsia="仿宋_GB2312" w:cs="仿宋_GB2312"/>
          <w:sz w:val="32"/>
          <w:szCs w:val="32"/>
        </w:rPr>
        <w:t>发挥督查在推动工作落实中的重要作用。</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舆情信息报送工作完成率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通过建立健全舆情监测机制、明确报送流程、加强队伍建设等措施，确保舆情信息的及时准确报送。在舆情工作中注重分析研判，为领导决策提供了重要参考。下一步，将继续优化舆情监测系统，提升舆情应对能力，</w:t>
      </w:r>
      <w:r>
        <w:rPr>
          <w:rFonts w:hint="eastAsia" w:ascii="仿宋_GB2312" w:hAnsi="仿宋_GB2312" w:eastAsia="仿宋_GB2312" w:cs="仿宋_GB2312"/>
          <w:sz w:val="32"/>
          <w:szCs w:val="32"/>
          <w:lang w:val="en-US" w:eastAsia="zh-CN"/>
        </w:rPr>
        <w:t>坚决</w:t>
      </w:r>
      <w:r>
        <w:rPr>
          <w:rFonts w:hint="eastAsia" w:ascii="仿宋_GB2312" w:hAnsi="仿宋_GB2312" w:eastAsia="仿宋_GB2312" w:cs="仿宋_GB2312"/>
          <w:sz w:val="32"/>
          <w:szCs w:val="32"/>
        </w:rPr>
        <w:t>筑牢意识形态安全防线。</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组织开展新闻报道工作完成率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将新闻报道工作作为传播正能量、凝聚共识的重要途径，通过制定详细的报道计划、加强媒体合作、提升报道质量等措施，确保报道任务的圆满完成。在报道工作中注重挖掘典型、讲好故事，有效提升了新闻报道的吸引力和感染力。下一步，将继续创新报道方式，提升报道的深度和广度，</w:t>
      </w:r>
      <w:r>
        <w:rPr>
          <w:rFonts w:hint="eastAsia" w:ascii="仿宋_GB2312" w:hAnsi="仿宋_GB2312" w:eastAsia="仿宋_GB2312" w:cs="仿宋_GB2312"/>
          <w:sz w:val="32"/>
          <w:szCs w:val="32"/>
          <w:lang w:val="en-US" w:eastAsia="zh-CN"/>
        </w:rPr>
        <w:t>持续</w:t>
      </w:r>
      <w:r>
        <w:rPr>
          <w:rFonts w:hint="eastAsia" w:ascii="仿宋_GB2312" w:hAnsi="仿宋_GB2312" w:eastAsia="仿宋_GB2312" w:cs="仿宋_GB2312"/>
          <w:sz w:val="32"/>
          <w:szCs w:val="32"/>
        </w:rPr>
        <w:t>增强新闻报道的传播力和影响力。</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组织召开重大主题策划会、新闻通气会等会议工作完成率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将重大主题策划会、新闻通气会等会议作为推动工作的重要平台，通过精心策划会议主题、明确会议议程、加强会务组织等措施，确保会议任务的圆满完成。在会议组织中注重实效，确保会议成果转化为工作动力。下一步，将继续优化会议流程，提升会议质量，</w:t>
      </w:r>
      <w:r>
        <w:rPr>
          <w:rFonts w:hint="eastAsia" w:ascii="仿宋_GB2312" w:hAnsi="仿宋_GB2312" w:eastAsia="仿宋_GB2312" w:cs="仿宋_GB2312"/>
          <w:sz w:val="32"/>
          <w:szCs w:val="32"/>
          <w:lang w:val="en-US" w:eastAsia="zh-CN"/>
        </w:rPr>
        <w:t>充分</w:t>
      </w:r>
      <w:r>
        <w:rPr>
          <w:rFonts w:hint="eastAsia" w:ascii="仿宋_GB2312" w:hAnsi="仿宋_GB2312" w:eastAsia="仿宋_GB2312" w:cs="仿宋_GB2312"/>
          <w:sz w:val="32"/>
          <w:szCs w:val="32"/>
        </w:rPr>
        <w:t>发挥会议在推动工作中的重要作用。</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年度优秀文艺作品规划工作完成率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将优秀文艺作品规划工作作为繁荣文化事业的重要抓手，通过制定详细的规划方案、明确创作方向、加强创作指导等措施，确保规划任务的顺利完成。在规划工作中注重挖掘本土文化资源，推动文艺作品创作与地方特色相结合。下一步，将继续加强文艺创作引导，提升作品质量，进一步丰富人民群众精神文化生活。</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年度文化体制改革任务完成率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本年度该三级指标的设定目标为“≥90%”，实际完成值为“90%”，完成率为100%，分值0.88分，得分为0.88分。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将文化体制改革作为推动文化发展的重要动力，通过制定详细的改革方案、明确改革重点、加强</w:t>
      </w:r>
      <w:r>
        <w:rPr>
          <w:rFonts w:hint="eastAsia" w:ascii="仿宋_GB2312" w:hAnsi="仿宋_GB2312" w:eastAsia="仿宋_GB2312" w:cs="仿宋_GB2312"/>
          <w:sz w:val="32"/>
          <w:szCs w:val="32"/>
          <w:lang w:val="en-US" w:eastAsia="zh-CN"/>
        </w:rPr>
        <w:t>督促</w:t>
      </w:r>
      <w:r>
        <w:rPr>
          <w:rFonts w:hint="eastAsia" w:ascii="仿宋_GB2312" w:hAnsi="仿宋_GB2312" w:eastAsia="仿宋_GB2312" w:cs="仿宋_GB2312"/>
          <w:sz w:val="32"/>
          <w:szCs w:val="32"/>
        </w:rPr>
        <w:t>督导等措施，确保改革任务的圆满完成。在改革工作中注重体制机制创新，有效激发了文化发展的活力。下一步，将继续深化文化体制改革，完善改革措施，</w:t>
      </w:r>
      <w:r>
        <w:rPr>
          <w:rFonts w:hint="eastAsia" w:ascii="仿宋_GB2312" w:hAnsi="仿宋_GB2312" w:eastAsia="仿宋_GB2312" w:cs="仿宋_GB2312"/>
          <w:sz w:val="32"/>
          <w:szCs w:val="32"/>
          <w:lang w:val="en-US" w:eastAsia="zh-CN"/>
        </w:rPr>
        <w:t>全力</w:t>
      </w:r>
      <w:r>
        <w:rPr>
          <w:rFonts w:hint="eastAsia" w:ascii="仿宋_GB2312" w:hAnsi="仿宋_GB2312" w:eastAsia="仿宋_GB2312" w:cs="仿宋_GB2312"/>
          <w:sz w:val="32"/>
          <w:szCs w:val="32"/>
        </w:rPr>
        <w:t>推动文化事业和文化产业高质量发展。</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征集电影剧本程序规范性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本年度该三级指标的设定目标为“规范”，实际完成值为“100%-80%(含)”，完成率为100%，分值0.88分，得分为0.79分。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征集电影剧本工作中，严格按照国家电影剧本征集管理办法和相关政策法规执行，确保征集程序的公开、公平、公正。通过制定详细的征集方案，明确征集范围、标准和要求，广泛动员社会力量参与，提高剧本征集的质量和数量。同时，建立了严格的评审机制，组织专家对征集剧本进行多轮评审，确保入选剧本的思想性、艺术性和观赏性。下一步，</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将进一步优化征集流程，加强宣传推广，吸引更多优秀创作者参与，提升剧本征集工作的规范性和影响力。</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电影审查程序规范性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本年度该电影审查程序规范性的目标值为“规范”，实际完成值为“100%-80%(含)”，完成率为100%，分值0.88分，得分为0.79分。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电影审查工作中，严格执行国家电影审查标准和程序，确保审查工作的严肃性和权威性。通过建立健全审查制度，明确审查职责和流程，组织专业审查人员对影片内容进行全面审核，确保影片符合国家法律法规和政策要求。同时，注重审查人员的培训和管理，提升审查工作的专业水平和效率。下一步，将进一步完善审查机制，加强与其他相关部门的沟通协作，推动电影审查工作更加规范高效。</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征集文化产业项目程序规范性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本年度该三级指标的设定目标为“规范”，实际完成值为“100%-80%(含)”，完成率为100%，分值0.88分，得分为0.79分。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征集文化产业项目过程中，严格按照国家和省级相关政策法规要求，制定详细的项目征集指南和评审标准，确保项目征集工作公开、公平、公正。通过建立健全项目征集、评审、立项等全流程管理制度，明确各环节责任主体和工作要求，确保程序规范、操作透明。同时，加强了对项目申报材料的审核把关，组织专家进行专业评审，确保项目质量符合文化产业发展方向和政策要求。下一步，将进一步优化项目征集程序，提升信息化管理水平，加强对项目全过程的监督管理，确保文化产业项目征集工作更加规范高效。</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信息化设备（平台）故障发生数</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本年度该三级指标的设定目标为“0”，实际完成值为“</w:t>
      </w:r>
      <w:r>
        <w:rPr>
          <w:rFonts w:hint="eastAsia" w:cs="仿宋_GB2312"/>
          <w:sz w:val="32"/>
          <w:szCs w:val="32"/>
          <w:lang w:val="en-US" w:eastAsia="zh-CN"/>
        </w:rPr>
        <w:t>0</w:t>
      </w:r>
      <w:r>
        <w:rPr>
          <w:rFonts w:hint="eastAsia" w:ascii="仿宋_GB2312" w:hAnsi="仿宋_GB2312" w:eastAsia="仿宋_GB2312" w:cs="仿宋_GB2312"/>
          <w:sz w:val="32"/>
          <w:szCs w:val="32"/>
        </w:rPr>
        <w:t>”，完成率为100%，分值0.88分，得分为</w:t>
      </w:r>
      <w:r>
        <w:rPr>
          <w:rFonts w:hint="eastAsia" w:ascii="仿宋_GB2312" w:hAnsi="仿宋_GB2312" w:eastAsia="仿宋_GB2312" w:cs="仿宋_GB2312"/>
          <w:sz w:val="32"/>
          <w:szCs w:val="32"/>
          <w:lang w:val="en-US" w:eastAsia="zh-CN"/>
        </w:rPr>
        <w:t>0.88</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信息化设备（平台）运维管理方面，建立了完善的设备巡检、维护和故障处理机制，定期对信息化设备进行检测和维护，确保设备运行稳定可靠。通过加强对信息化平台的日常监控和安全管理，及时发现并处理潜在问题，有效预防设备故障的发生。同时，制定了应急预案，配备了专业的技术支持团队，确保在突发情况下能够快速响应和处理。下一步，将继续加强信息化设备的维护管理，提升技术人员专业能力，进一步降低设备故障率，保障信息化系统的安全稳定运行。</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年度政务窗口受理事项办结及时性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政务窗口受理事项办结及时性方面表现良好，全年所有受理事项均能在规定时限内完成办结，确保政务服务的高效性。为实现该目标，优化了政务窗口工作流程，加强了人员培训，建立了事项办理跟踪机制，确保每个环节无缝衔接。下一步，将进一步推广“一窗受理、集成服务”模式，探索智能化审批辅助系统，提升办结效率的同时增强服务的便捷性和透明度。</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组织开展宣传思想文化工作及时性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在宣传思想文化工作组织方面整体执行情况良好，能够按照中央和省委要求及时开展各项宣传活动，体现了较强的执行力。为实现该目标，制定了年度</w:t>
      </w:r>
      <w:r>
        <w:rPr>
          <w:rFonts w:hint="eastAsia" w:ascii="仿宋_GB2312" w:hAnsi="仿宋_GB2312" w:eastAsia="仿宋_GB2312" w:cs="仿宋_GB2312"/>
          <w:sz w:val="32"/>
          <w:szCs w:val="32"/>
          <w:lang w:val="en-US" w:eastAsia="zh-CN"/>
        </w:rPr>
        <w:t>重点工作任务</w:t>
      </w:r>
      <w:r>
        <w:rPr>
          <w:rFonts w:hint="eastAsia" w:ascii="仿宋_GB2312" w:hAnsi="仿宋_GB2312" w:eastAsia="仿宋_GB2312" w:cs="仿宋_GB2312"/>
          <w:sz w:val="32"/>
          <w:szCs w:val="32"/>
        </w:rPr>
        <w:t>计划，明确时间节点与责任</w:t>
      </w:r>
      <w:r>
        <w:rPr>
          <w:rFonts w:hint="eastAsia" w:cs="仿宋_GB2312"/>
          <w:sz w:val="32"/>
          <w:szCs w:val="32"/>
          <w:lang w:val="en-US" w:eastAsia="zh-CN"/>
        </w:rPr>
        <w:t>处室、直属单位</w:t>
      </w:r>
      <w:r>
        <w:rPr>
          <w:rFonts w:hint="eastAsia" w:ascii="仿宋_GB2312" w:hAnsi="仿宋_GB2312" w:eastAsia="仿宋_GB2312" w:cs="仿宋_GB2312"/>
          <w:sz w:val="32"/>
          <w:szCs w:val="32"/>
        </w:rPr>
        <w:t>，确保各项宣传工作有序推进。围绕学习贯彻习近平新时代中国特色社会主义思想、党的</w:t>
      </w:r>
      <w:r>
        <w:rPr>
          <w:rFonts w:hint="eastAsia" w:ascii="仿宋_GB2312" w:hAnsi="仿宋_GB2312" w:eastAsia="仿宋_GB2312" w:cs="仿宋_GB2312"/>
          <w:sz w:val="32"/>
          <w:szCs w:val="32"/>
          <w:lang w:val="en-US" w:eastAsia="zh-CN"/>
        </w:rPr>
        <w:t>二十届四中全会</w:t>
      </w:r>
      <w:r>
        <w:rPr>
          <w:rFonts w:hint="eastAsia" w:ascii="仿宋_GB2312" w:hAnsi="仿宋_GB2312" w:eastAsia="仿宋_GB2312" w:cs="仿宋_GB2312"/>
          <w:sz w:val="32"/>
          <w:szCs w:val="32"/>
        </w:rPr>
        <w:t>等重大主题，及时组织开展宣讲活动、文艺创作等多样化宣传，确保了思想文化宣传的时效性和覆盖面。在时间节点控制方面，通过提前谋划、任务分解、定期督导等方式，确保了宣传工作与中央部署同频共振。</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年度理论研究工作完成及时性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在理论研究工作方面能够按时完成既定任务，确保了理论研究成果的时效性和应用价值。为实现该目标，建立</w:t>
      </w:r>
      <w:r>
        <w:rPr>
          <w:rFonts w:hint="eastAsia" w:ascii="仿宋_GB2312" w:hAnsi="仿宋_GB2312" w:eastAsia="仿宋_GB2312" w:cs="仿宋_GB2312"/>
          <w:sz w:val="32"/>
          <w:szCs w:val="32"/>
          <w:lang w:val="en-US" w:eastAsia="zh-CN"/>
        </w:rPr>
        <w:t>健全</w:t>
      </w:r>
      <w:r>
        <w:rPr>
          <w:rFonts w:hint="eastAsia" w:ascii="仿宋_GB2312" w:hAnsi="仿宋_GB2312" w:eastAsia="仿宋_GB2312" w:cs="仿宋_GB2312"/>
          <w:sz w:val="32"/>
          <w:szCs w:val="32"/>
        </w:rPr>
        <w:t>理论研究</w:t>
      </w:r>
      <w:r>
        <w:rPr>
          <w:rFonts w:hint="eastAsia" w:ascii="仿宋_GB2312" w:hAnsi="仿宋_GB2312" w:eastAsia="仿宋_GB2312" w:cs="仿宋_GB2312"/>
          <w:sz w:val="32"/>
          <w:szCs w:val="32"/>
          <w:lang w:val="en-US" w:eastAsia="zh-CN"/>
        </w:rPr>
        <w:t>的相关</w:t>
      </w:r>
      <w:r>
        <w:rPr>
          <w:rFonts w:hint="eastAsia" w:ascii="仿宋_GB2312" w:hAnsi="仿宋_GB2312" w:eastAsia="仿宋_GB2312" w:cs="仿宋_GB2312"/>
          <w:sz w:val="32"/>
          <w:szCs w:val="32"/>
        </w:rPr>
        <w:t>制度，明确了立项、中期检查、结项等各环节时间要求，组建了专家评审团队，定期召开理论研讨会，推动研究成果转化。围绕习近平新时代中国特色社会主义思想、甘肃高质量发展等重大课题，及时组织开展调查研究，形成了一批有深度、有分量的理论成果，为省委决策提供了重要参考。</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舆情信息报送工作完成及时性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舆情信息报送工作方面表现突出，能够第一时间发现、研判和报送重要舆情信息，为领导决策提供及时参考。为实现该目标，建立了24小时值班制度，优化了信息报送流程，组建了专业分析团队，确保重大舆情及时发现、准确研判、快速上报。</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省社科评审项目工作开展及时性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省社科评审项目工作方面执行情况良好，能够按照计划时间节点完成项目申报、评审、立项等各环节工作，确保了社科研究工作的有序开展。为实现该目标，制定了详细的工作计划，明确了各阶段时间要求，优化了评审流程，确保评审工作公平公正、高效推进。全年组织完成</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社科项目立项评审、中期检查、结项验收等工作，支持了一批服务甘肃发展的重点研究项目。在时间控制方面，通过提前部署、流程优化、信息化手段应用等方式，确保了评审工作的规范</w:t>
      </w:r>
      <w:r>
        <w:rPr>
          <w:rFonts w:hint="eastAsia" w:ascii="仿宋_GB2312" w:hAnsi="仿宋_GB2312" w:eastAsia="仿宋_GB2312" w:cs="仿宋_GB2312"/>
          <w:sz w:val="32"/>
          <w:szCs w:val="32"/>
          <w:lang w:val="en-US" w:eastAsia="zh-CN"/>
        </w:rPr>
        <w:t>高效</w:t>
      </w:r>
      <w:r>
        <w:rPr>
          <w:rFonts w:hint="eastAsia" w:ascii="仿宋_GB2312" w:hAnsi="仿宋_GB2312" w:eastAsia="仿宋_GB2312" w:cs="仿宋_GB2312"/>
          <w:sz w:val="32"/>
          <w:szCs w:val="32"/>
        </w:rPr>
        <w:t>。</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组织召开重大主题策划会、新闻通气会等会议工作及时性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重大主题会议组织方面表现优异，能够根据工作需要及时召开各类策划会、通气会，确保宣传工作的协同性和时效性。为实现该目标，优化了会务工作流程，确保会议筹备高效、召开及时、效果显著。围绕省委省政府中心工作，及时组织召开新闻策划会、媒体通气会等会议，协调各级各类媒体开展主题宣传，形成了强大的舆论声势。在时间管理方面，通过提前谋划、分工协作、动态跟踪等方式，确保了会议召开的及时</w:t>
      </w:r>
      <w:r>
        <w:rPr>
          <w:rFonts w:hint="eastAsia" w:ascii="仿宋_GB2312" w:hAnsi="仿宋_GB2312" w:eastAsia="仿宋_GB2312" w:cs="仿宋_GB2312"/>
          <w:sz w:val="32"/>
          <w:szCs w:val="32"/>
          <w:lang w:val="en-US" w:eastAsia="zh-CN"/>
        </w:rPr>
        <w:t>高效</w:t>
      </w:r>
      <w:r>
        <w:rPr>
          <w:rFonts w:hint="eastAsia" w:ascii="仿宋_GB2312" w:hAnsi="仿宋_GB2312" w:eastAsia="仿宋_GB2312" w:cs="仿宋_GB2312"/>
          <w:sz w:val="32"/>
          <w:szCs w:val="32"/>
        </w:rPr>
        <w:t>。</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年度优秀文艺作品规划工作完成及时性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本年度该三级指标的设定目标为“及时完成年度优秀文艺作品规划工作”，实际完成值为“100%-80%(含)”，完成率为100%，分值0.88分，得分为0.79分。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年度优秀文艺作品规划工作方面表现良好，能够按照既定时间节点完成规划任务，体现了较强的组织协调能力和执行力。下一步，将进一步完善文艺作品规划工作机制，优化规划流程，加强与文艺创作单位的沟通协调，提升规划的前瞻性和指导性，确保规划工作更加高效精准。</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年度对外宣传、推广工作完成及时性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本年度该三级指标的设定目标为“及时完成年度对外宣传、推广工作”，实际完成值为“100%-80%(含)”，完成率为100%，分值0.88分，得分为0.79分。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在年度对外宣传、推广工作方面执行情况良好，能够按照计划时间节点完成各项任务，展现较强的统筹协调能力和执行力。为实现该目标，制定了</w:t>
      </w:r>
      <w:r>
        <w:rPr>
          <w:rFonts w:hint="eastAsia" w:ascii="仿宋_GB2312" w:hAnsi="仿宋_GB2312" w:eastAsia="仿宋_GB2312" w:cs="仿宋_GB2312"/>
          <w:sz w:val="32"/>
          <w:szCs w:val="32"/>
          <w:lang w:val="en-US" w:eastAsia="zh-CN"/>
        </w:rPr>
        <w:t>相关工作</w:t>
      </w:r>
      <w:r>
        <w:rPr>
          <w:rFonts w:hint="eastAsia" w:ascii="仿宋_GB2312" w:hAnsi="仿宋_GB2312" w:eastAsia="仿宋_GB2312" w:cs="仿宋_GB2312"/>
          <w:sz w:val="32"/>
          <w:szCs w:val="32"/>
        </w:rPr>
        <w:t>计划，明确时间节点和责任部门，确保各项工作有序推进。通过组织新闻发布会、专题采访、媒体采风等活动，及时宣传我省经济社会发展成就和文化旅游资源，提升了甘肃的知名度和影响力。特别是在重大节会活动和重要时间节点，提前策划、精心组织，确保对外宣传工作及时有效开展。下一步，将进一步加强与媒体的沟通协作，优化宣传推广方式，提升对外宣传的时效性和影响力，更好地展示甘肃形象。</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征集电影剧本工作完成及时性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本年度该三级指标的设定目标为“及时完成征集电影剧本工作”，实际完成值为“100%-80%(含)”，完成率为100%，分值0.88分，得分为0.79分。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在征集电影剧本工作方面表现良好，能够按照既定时间节点完成征集任务，体现较强的工作执行力和专业水平。为实现该目标，制定了详细工作方案，明确时间安排和工作流程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专家评审委员会对征集到的剧本进行公平、公正、公开的评审，确保评审工作规范有序。及时公布评审结果并做好后续服务工作，为优秀电影剧本的创作和拍摄提供了有力支持。下一步，将进一步完善电影剧本征集工作机制，优化征集流程，加强与编剧和影视制作单位的沟通联系，提升征集工作效率和质量。</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电影审查工作完成及时性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本年度该三级指标的设定目标为“及时完成电影审查工作”，实际完成值为“100%-80%(含)”，完成率为100%，分值0.88分，得分为0.79分。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电影审查工作方面表现良好，能够按照相关规定及时完成审查任务，体现较强的专业能力和工作效率。为实现该目标，建立了规范的电影审查流程，明确审查标准和时限要求，组织专业审查人员对送审影片进行全面审查。在审查过程中，坚持原则性与灵活性相结合，既严格把关又注重服务，确保审查工作及时高效完成。通过及时反馈审查意见，指导影片修改完善，促进了电影创作质量的提升。下一步，将进一步完善电影审查工作机制，优化审查流程，加强审查人员培训，提升审查工作的专业性和时效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版权作品登记工作完成及时性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本年度该三级指标的设定目标为“及时完成版权作品登记工作”，实际完成值为“100%-80%(含)”，完成率为100%，分值0.88分，得分为0.79分。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版权作品登记工作方面执行情况良好，能够按时完成登记任务，展现较强的工作效率和服务意识。为实现该目标，优化了版权作品登记流程，简化申请材料，推行网上办理，提高了登记效率。加强登记人员培训，提升业务能力和服务水平，确保登记工作规范有序开展。通过及时完成版权作品登记，有效保护了著作权人的合法权益，激发了创作活力。下一步，将进一步加强版权宣传普及，优化登记服务，探索建立版权作品快速登记机制，提升登记工作的便捷性和时效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组织开展培训工作完成及时性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本年度该三级指标的设定目标为“及时组织开展培训工作”，实际完成值为“100%-80%(含)”，完成率为100%，分值0.88分，得分为0.79分。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组织开展培训工作方面表现良好，能够按照计划时间节点完成各项培训任务，体现较强的组织协调能力和执行力。为实现该目标，制定了年度培训计划，明确培训内容、对象和时间安排，提前做好培训筹备工作。通过举办专题培训班、业务讲座、经验交流等活动，提升了干部职工的业务能力和专业素养。特别是在新政策、新技术出台后，及时组织专题培训，确保相关人员能够快速掌握和运用。下一步，将进一步完善培训工作机制，优化培训内容，创新培训方式，提升培训的针对性和实效性。</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信息化设备故障响应时间</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本年度该三级指标的设定目标为“及时响应信息化设备故障”，实际完成值为“100%-80%(含)”，完成率为100%，分值0.88分，得分为0.79分。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信息化设备故障响应方面表现良好，能够在规定时间内及时处理故障，保障信息化系统的正常运行。为实现该目标，建立了信息化设备故障快速响应机制，组建专业技术支持团队，确保故障得到及时有效处理。通过定期维护检查、建立备品备件库等措施，预防和减少故障发生。在故障发生后，能够快速定位问题并及时解决，最大限度减少对工作的影响。下一步，将进一步完善信息化设备故障预警机制，加强日常维护管理，提升故障预防和快速处置能力，确保信息化系统稳定高效运行。</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成本控制情况</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本年度该三级指标的设定目标为“在预算范围内”，实际完成值为100%-80%(含)，完成率为100%，分值0.96分，得分为0.86分。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成本控制方面严格执行了预算管理要求，确保了各项支出均在预算范围内。通过优化资金使用流程、加强项目成本核算、合理统筹资源配置，在保障工作质量的同时有效控制了运营成本。此外，还强化了资金使用全过程的动态</w:t>
      </w:r>
      <w:r>
        <w:rPr>
          <w:rFonts w:hint="eastAsia" w:ascii="仿宋_GB2312" w:hAnsi="仿宋_GB2312" w:eastAsia="仿宋_GB2312" w:cs="仿宋_GB2312"/>
          <w:sz w:val="32"/>
          <w:szCs w:val="32"/>
          <w:lang w:val="en-US" w:eastAsia="zh-CN"/>
        </w:rPr>
        <w:t>监控</w:t>
      </w:r>
      <w:r>
        <w:rPr>
          <w:rFonts w:hint="eastAsia" w:ascii="仿宋_GB2312" w:hAnsi="仿宋_GB2312" w:eastAsia="仿宋_GB2312" w:cs="仿宋_GB2312"/>
          <w:sz w:val="32"/>
          <w:szCs w:val="32"/>
        </w:rPr>
        <w:t>机制，确保资金使用的透明高效。下一阶段，将继续深化成本精细化管理，探索集中采购与区域协作机制，进一步提升资金使用效益，推动各项工作提质增效。</w:t>
      </w:r>
    </w:p>
    <w:p>
      <w:pPr>
        <w:pStyle w:val="2"/>
        <w:keepNext w:val="0"/>
        <w:keepLines w:val="0"/>
        <w:pageBreakBefore w:val="0"/>
        <w:kinsoku/>
        <w:wordWrap/>
        <w:overflowPunct/>
        <w:autoSpaceDE/>
        <w:autoSpaceDN/>
        <w:bidi w:val="0"/>
        <w:spacing w:line="600" w:lineRule="exact"/>
        <w:ind w:left="0" w:leftChars="0"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4.综合指标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提升文化产业增加值占GDP比重</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增长”，实际完成情况为“100%-80%(含)”，完成率为100%，分值为7.5分，得分为6.75分。本单位在提升文化产业增加值占GDP比重方面，通过加强文化产业政策引导、优化文化产业结构、推动文化产业与相关产业融合发展等措施，有效促进了文化产业的持续健康发展。通过支持文化创意企业发展、推动文化科技创新等具体工作，文化产业增加值稳步提升，为全省经济发展注入新的活力。下一步，</w:t>
      </w:r>
      <w:r>
        <w:rPr>
          <w:rFonts w:hint="eastAsia" w:cs="仿宋_GB2312"/>
          <w:sz w:val="32"/>
          <w:szCs w:val="32"/>
          <w:lang w:val="en-US" w:eastAsia="zh-CN"/>
        </w:rPr>
        <w:t>将</w:t>
      </w:r>
      <w:r>
        <w:rPr>
          <w:rFonts w:hint="eastAsia" w:ascii="仿宋_GB2312" w:hAnsi="仿宋_GB2312" w:eastAsia="仿宋_GB2312" w:cs="仿宋_GB2312"/>
          <w:sz w:val="32"/>
          <w:szCs w:val="32"/>
        </w:rPr>
        <w:t>进一步加大文化产业扶持力度，推动文化产业与科技、旅游等产业深度融合，提升文化产业的核心竞争力，促进文化产业高质量发展。</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政策宣传群众知晓率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本年度该三级指标的设定目标为“政策宣传群众知晓率≥90%”，实际完成值为“90%”，完成率为100%，分值7.5分，得分为7.5分。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高度重视政策宣传工作，积极构建多渠道、立体化政策传播体系，充分利用政务网站、政务新媒体、社区宣传栏、入户走访等形式，广泛开展政策解读与宣传普及工作，有效提升了群众对政策的知晓率和理解度。下一步，将加强政策宣传精准性与针对性，结合不同群体特点，创新宣传方式方法，推动政策宣传进村入户、深入人心，进一步提升政策落实效果与群众参与度。</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节能减排率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本年度该三级指标的设定目标为“&gt;=90%”，实际完成值为90%，完成率为100%，分值7.5分，得分为7.5分。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在节能减排方面严格落实国家和</w:t>
      </w:r>
      <w:r>
        <w:rPr>
          <w:rFonts w:hint="eastAsia" w:ascii="仿宋_GB2312" w:hAnsi="仿宋_GB2312" w:eastAsia="仿宋_GB2312" w:cs="仿宋_GB2312"/>
          <w:sz w:val="32"/>
          <w:szCs w:val="32"/>
          <w:lang w:val="en-US" w:eastAsia="zh-CN"/>
        </w:rPr>
        <w:t>省上</w:t>
      </w:r>
      <w:r>
        <w:rPr>
          <w:rFonts w:hint="eastAsia" w:ascii="仿宋_GB2312" w:hAnsi="仿宋_GB2312" w:eastAsia="仿宋_GB2312" w:cs="仿宋_GB2312"/>
          <w:sz w:val="32"/>
          <w:szCs w:val="32"/>
        </w:rPr>
        <w:t>相关政策要求，通过推广节能设备、加强能耗监测等措施，有效降低能耗水平。在办公区域实施绿色照明改造，推广无纸化办公，减少一次性用品使用，全年实现节能减排率达标。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受众满意度</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本年度该三级指标的设定目标为“≥90%”，实际完成值为90%，完成率为100%，分值7.5分，得分为7.5分。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高度重视宣传思想文化工作的社会影响力和受众满意度，通过多种渠道和方式提升宣传效果和服务质量。一是加强政策宣传和舆论引导，确保政策宣传群众知晓率达到预期目标；二是优化宣传内容和形式，采用群众喜闻乐见的方式，增强宣传的吸引力和感染力；三是建立健全反馈机制，及时收集和处理受众意见和建议，不断改进工作方法和服务水平。下一步，将继续深化宣传思想文化工作的改革创新，进一步提升受众满意度和宣传效果，为全省经济社会发展营造良好的舆论氛围。</w:t>
      </w:r>
    </w:p>
    <w:p>
      <w:pPr>
        <w:pStyle w:val="2"/>
        <w:keepNext w:val="0"/>
        <w:keepLines w:val="0"/>
        <w:pageBreakBefore w:val="0"/>
        <w:kinsoku/>
        <w:wordWrap/>
        <w:overflowPunct/>
        <w:autoSpaceDE/>
        <w:autoSpaceDN/>
        <w:bidi w:val="0"/>
        <w:spacing w:line="600" w:lineRule="exact"/>
        <w:ind w:left="0" w:leftChars="0"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5.可持续发展能力</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党建工作开展情况</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本年度该三级指标的设定目标为“良好”，实际完成值为100%-80%（含），完成率为100%，分值5分，得分为4.5分。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在党建工作方面取得了显著成效，通过深入开展习近平新时代中国特色社会主义思想学习教育活动，强化了党员干部的政治意识和理论素养。同时，建立了党建工作责任制，定期开展党建督导检查，确保各项党建工作落到实处。下一步，将进一步完善党建工作机制，创新活动形式，提升党建工作实效性和影响力。</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培训计划完成率</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本年度该三级指标的设定目标为“≥90%”，实际完成值为“90%”，完成率为100%，分值5分，得分为5分。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高度重视干部教育培训工作，全年按计划完成了各项培训任务，并通过严格的考勤和效果评估确保培训质量。下一步，将进一步完善培训体系，丰富培训内容，探索线上线下相结合的培训模式，提升培训的针对性和实效性。</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制度完善情况</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本年度该三级指标的设定目标为“完善”，实际完成值为100%-80%（含），完成率为100%，分值5分，得分为4.5分。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持续推进制度体系建设，全年共修订完善</w:t>
      </w:r>
      <w:r>
        <w:rPr>
          <w:rFonts w:hint="eastAsia" w:ascii="仿宋_GB2312" w:hAnsi="仿宋_GB2312" w:eastAsia="仿宋_GB2312" w:cs="仿宋_GB2312"/>
          <w:sz w:val="32"/>
          <w:szCs w:val="32"/>
          <w:lang w:val="en-US" w:eastAsia="zh-CN"/>
        </w:rPr>
        <w:t>多项</w:t>
      </w:r>
      <w:r>
        <w:rPr>
          <w:rFonts w:hint="eastAsia" w:ascii="仿宋_GB2312" w:hAnsi="仿宋_GB2312" w:eastAsia="仿宋_GB2312" w:cs="仿宋_GB2312"/>
          <w:sz w:val="32"/>
          <w:szCs w:val="32"/>
        </w:rPr>
        <w:t>规章制度，涵盖财务管理、</w:t>
      </w:r>
      <w:r>
        <w:rPr>
          <w:rFonts w:hint="eastAsia" w:ascii="仿宋_GB2312" w:hAnsi="仿宋_GB2312" w:eastAsia="仿宋_GB2312" w:cs="仿宋_GB2312"/>
          <w:sz w:val="32"/>
          <w:szCs w:val="32"/>
          <w:lang w:val="en-US" w:eastAsia="zh-CN"/>
        </w:rPr>
        <w:t>政府采购、国有资产管理、专项资金管理</w:t>
      </w:r>
      <w:r>
        <w:rPr>
          <w:rFonts w:hint="eastAsia" w:ascii="仿宋_GB2312" w:hAnsi="仿宋_GB2312" w:eastAsia="仿宋_GB2312" w:cs="仿宋_GB2312"/>
          <w:sz w:val="32"/>
          <w:szCs w:val="32"/>
        </w:rPr>
        <w:t>等多个方面。下一步，将加强制度建设的统筹规划，加快</w:t>
      </w:r>
      <w:r>
        <w:rPr>
          <w:rFonts w:hint="eastAsia" w:ascii="仿宋_GB2312" w:hAnsi="仿宋_GB2312" w:eastAsia="仿宋_GB2312" w:cs="仿宋_GB2312"/>
          <w:sz w:val="32"/>
          <w:szCs w:val="32"/>
          <w:lang w:val="en-US" w:eastAsia="zh-CN"/>
        </w:rPr>
        <w:t>内部控制手册等部分制度文件的</w:t>
      </w:r>
      <w:r>
        <w:rPr>
          <w:rFonts w:hint="eastAsia" w:ascii="仿宋_GB2312" w:hAnsi="仿宋_GB2312" w:eastAsia="仿宋_GB2312" w:cs="仿宋_GB2312"/>
          <w:sz w:val="32"/>
          <w:szCs w:val="32"/>
        </w:rPr>
        <w:t>修订进度，强化制度执行力度，提升单位治理效能。</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试点工作开展情况</w:t>
      </w:r>
    </w:p>
    <w:p>
      <w:pPr>
        <w:keepNext w:val="0"/>
        <w:keepLines w:val="0"/>
        <w:pageBreakBefore w:val="0"/>
        <w:kinsoku/>
        <w:wordWrap/>
        <w:overflowPunct/>
        <w:autoSpaceDE/>
        <w:autoSpaceDN/>
        <w:bidi w:val="0"/>
        <w:spacing w:line="600" w:lineRule="exact"/>
        <w:ind w:left="0" w:lef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本年度该三级指标的设定目标为“良好”，实际完成值为100%-80%（含），完成率为100%，分值5分，得分为4.5分。</w:t>
      </w:r>
      <w:r>
        <w:rPr>
          <w:rFonts w:hint="eastAsia" w:ascii="仿宋_GB2312" w:hAnsi="仿宋_GB2312" w:eastAsia="仿宋_GB2312" w:cs="仿宋_GB2312"/>
          <w:sz w:val="32"/>
          <w:szCs w:val="32"/>
          <w:lang w:val="en-US" w:eastAsia="zh-CN"/>
        </w:rPr>
        <w:t>我部</w:t>
      </w:r>
      <w:r>
        <w:rPr>
          <w:rFonts w:hint="eastAsia" w:ascii="仿宋_GB2312" w:hAnsi="仿宋_GB2312" w:eastAsia="仿宋_GB2312" w:cs="仿宋_GB2312"/>
          <w:sz w:val="32"/>
          <w:szCs w:val="32"/>
        </w:rPr>
        <w:t>积极推进改革创新试点工作，取得阶段性成果，探索出了一批可复制推广的经验做法。下一步，将进一步完善试点工作机制，加大试点成果推广力度，推动改革创新向纵深发展。</w:t>
      </w:r>
      <w:bookmarkStart w:id="48" w:name="_Toc64819705"/>
    </w:p>
    <w:bookmarkEnd w:id="48"/>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0"/>
        <w:textAlignment w:val="auto"/>
        <w:rPr>
          <w:rFonts w:hint="eastAsia" w:ascii="仿宋_GB2312" w:hAnsi="仿宋_GB2312" w:eastAsia="仿宋_GB2312" w:cs="仿宋_GB2312"/>
          <w:b/>
          <w:bCs/>
          <w:color w:val="auto"/>
          <w:kern w:val="2"/>
          <w:sz w:val="32"/>
          <w:szCs w:val="32"/>
          <w:lang w:val="en-US" w:eastAsia="zh-CN" w:bidi="ar-SA"/>
        </w:rPr>
      </w:pPr>
      <w:bookmarkStart w:id="49" w:name="_Toc24905"/>
      <w:bookmarkStart w:id="50" w:name="_Toc11480"/>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b/>
          <w:bCs/>
          <w:color w:val="auto"/>
          <w:kern w:val="2"/>
          <w:sz w:val="32"/>
          <w:szCs w:val="32"/>
          <w:lang w:val="en-US" w:eastAsia="zh-CN" w:bidi="ar-SA"/>
        </w:rPr>
        <w:t>偏离绩效目标的原因及下一步改进措施</w:t>
      </w:r>
      <w:bookmarkEnd w:id="49"/>
      <w:bookmarkEnd w:id="50"/>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基本支出预算执行率、项目支出预算执行率等实际完成值和年初指标值存在偏差</w:t>
      </w:r>
      <w:r>
        <w:rPr>
          <w:rFonts w:hint="eastAsia" w:ascii="仿宋_GB2312" w:hAnsi="仿宋_GB2312" w:eastAsia="仿宋_GB2312" w:cs="仿宋_GB2312"/>
          <w:b w:val="0"/>
          <w:bCs w:val="0"/>
          <w:color w:val="auto"/>
          <w:sz w:val="32"/>
          <w:szCs w:val="32"/>
          <w:lang w:val="en-US" w:eastAsia="zh-CN"/>
        </w:rPr>
        <w:t>，主要原因是部分工作推进速度慢，预算资金支付不及时。2026年，我部将结合当年重点工作合理安排结转资金和当年专项资金使用计划，</w:t>
      </w:r>
      <w:bookmarkStart w:id="51" w:name="_Toc18976"/>
      <w:bookmarkStart w:id="52" w:name="_Toc2228"/>
      <w:bookmarkStart w:id="53" w:name="_Toc8078"/>
      <w:r>
        <w:rPr>
          <w:rFonts w:hint="eastAsia" w:ascii="仿宋_GB2312" w:hAnsi="仿宋_GB2312" w:eastAsia="仿宋_GB2312" w:cs="仿宋_GB2312"/>
          <w:b w:val="0"/>
          <w:bCs w:val="0"/>
          <w:color w:val="auto"/>
          <w:sz w:val="32"/>
          <w:szCs w:val="32"/>
          <w:lang w:val="en-US" w:eastAsia="zh-CN"/>
        </w:rPr>
        <w:t>加快资金支付进度。</w:t>
      </w:r>
    </w:p>
    <w:p>
      <w:pPr>
        <w:pStyle w:val="24"/>
        <w:keepNext w:val="0"/>
        <w:keepLines w:val="0"/>
        <w:pageBreakBefore w:val="0"/>
        <w:widowControl w:val="0"/>
        <w:kinsoku/>
        <w:wordWrap/>
        <w:overflowPunct/>
        <w:topLinePunct w:val="0"/>
        <w:autoSpaceDE/>
        <w:autoSpaceDN/>
        <w:bidi w:val="0"/>
        <w:spacing w:line="600" w:lineRule="exact"/>
        <w:ind w:left="0" w:leftChars="0" w:firstLine="640" w:firstLineChars="200"/>
        <w:textAlignment w:val="auto"/>
        <w:rPr>
          <w:rFonts w:hint="eastAsia" w:ascii="仿宋_GB2312" w:hAnsi="仿宋_GB2312" w:eastAsia="仿宋_GB2312" w:cs="仿宋_GB2312"/>
          <w:lang w:val="en-US"/>
        </w:rPr>
      </w:pPr>
      <w:r>
        <w:rPr>
          <w:rFonts w:hint="eastAsia" w:ascii="仿宋_GB2312" w:hAnsi="仿宋_GB2312" w:eastAsia="仿宋_GB2312" w:cs="仿宋_GB2312"/>
          <w:b w:val="0"/>
          <w:bCs w:val="0"/>
          <w:color w:val="auto"/>
          <w:sz w:val="32"/>
          <w:szCs w:val="32"/>
          <w:lang w:val="en-US" w:eastAsia="zh-CN"/>
        </w:rPr>
        <w:t>2.2026年，</w:t>
      </w:r>
      <w:r>
        <w:rPr>
          <w:rFonts w:hint="eastAsia" w:ascii="仿宋_GB2312" w:hAnsi="仿宋_GB2312" w:eastAsia="仿宋_GB2312" w:cs="仿宋_GB2312"/>
          <w:color w:val="auto"/>
          <w:spacing w:val="0"/>
          <w:sz w:val="32"/>
          <w:szCs w:val="32"/>
          <w:u w:val="none"/>
          <w:lang w:val="en-US" w:eastAsia="zh-CN"/>
        </w:rPr>
        <w:t>我们将坚持以习近平新时代中国特色社会主义思想为指导，全面学习贯彻习近平文化思想和习近平总书记视察甘肃重要讲话重要指示精神，深入贯彻落实党的二十大和二十届历次全会精神，科学编制文化领域“十五五”规划，进一步深化文化体制机制改革，推动文旅强省建设取得新进展新成效，为奋力谱写中国式现代化甘肃篇章提供坚强思想保证、强大精神力量、有利文化条件。</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四、部门预算项目支出绩效自评情况分析</w:t>
      </w:r>
      <w:bookmarkEnd w:id="51"/>
      <w:bookmarkEnd w:id="52"/>
      <w:bookmarkEnd w:id="53"/>
      <w:bookmarkStart w:id="54" w:name="_Toc9737"/>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cs="仿宋_GB2312"/>
          <w:color w:val="auto"/>
          <w:sz w:val="32"/>
          <w:szCs w:val="32"/>
          <w:lang w:val="en-US" w:eastAsia="zh-CN"/>
        </w:rPr>
        <w:t>5</w:t>
      </w:r>
      <w:r>
        <w:rPr>
          <w:rFonts w:hint="eastAsia" w:ascii="仿宋_GB2312" w:hAnsi="仿宋_GB2312" w:eastAsia="仿宋_GB2312" w:cs="仿宋_GB2312"/>
          <w:color w:val="auto"/>
          <w:sz w:val="32"/>
          <w:szCs w:val="32"/>
        </w:rPr>
        <w:t>年，本部门预算支出项目为</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个，通过</w:t>
      </w:r>
      <w:r>
        <w:rPr>
          <w:rFonts w:hint="eastAsia" w:ascii="仿宋_GB2312" w:hAnsi="仿宋_GB2312" w:eastAsia="仿宋_GB2312" w:cs="仿宋_GB2312"/>
          <w:color w:val="auto"/>
          <w:sz w:val="32"/>
          <w:szCs w:val="32"/>
          <w:lang w:eastAsia="zh-CN"/>
        </w:rPr>
        <w:t>自</w:t>
      </w:r>
      <w:r>
        <w:rPr>
          <w:rFonts w:hint="eastAsia" w:ascii="仿宋_GB2312" w:hAnsi="仿宋_GB2312" w:eastAsia="仿宋_GB2312" w:cs="仿宋_GB2312"/>
          <w:color w:val="auto"/>
          <w:sz w:val="32"/>
          <w:szCs w:val="32"/>
        </w:rPr>
        <w:t>评，</w:t>
      </w: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rPr>
        <w:t>个项目为“优”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1个项目为“良”、1个项目为“中”</w:t>
      </w:r>
      <w:r>
        <w:rPr>
          <w:rFonts w:hint="eastAsia" w:ascii="仿宋_GB2312" w:hAnsi="仿宋_GB2312" w:eastAsia="仿宋_GB2312" w:cs="仿宋_GB2312"/>
          <w:color w:val="auto"/>
          <w:sz w:val="32"/>
          <w:szCs w:val="32"/>
        </w:rPr>
        <w:t>，分项目自评情况分析如下：</w:t>
      </w:r>
      <w:bookmarkStart w:id="55" w:name="_Toc40046039"/>
      <w:bookmarkStart w:id="56" w:name="_Toc27085"/>
      <w:bookmarkStart w:id="57" w:name="_Toc64982117"/>
      <w:bookmarkStart w:id="58" w:name="_Toc64819708"/>
      <w:bookmarkStart w:id="59" w:name="_Toc17463"/>
      <w:bookmarkStart w:id="60" w:name="_Toc64982245"/>
      <w:bookmarkStart w:id="61" w:name="_Toc857"/>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（一）项目1</w:t>
      </w:r>
      <w:bookmarkEnd w:id="55"/>
      <w:bookmarkEnd w:id="56"/>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业务费</w:t>
      </w:r>
      <w:bookmarkEnd w:id="57"/>
      <w:bookmarkEnd w:id="58"/>
      <w:bookmarkEnd w:id="59"/>
      <w:bookmarkEnd w:id="60"/>
      <w:bookmarkEnd w:id="61"/>
      <w:bookmarkStart w:id="62" w:name="_Toc40046040"/>
      <w:bookmarkStart w:id="63" w:name="_Toc64819709"/>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项目支出预算执行情况</w:t>
      </w:r>
      <w:bookmarkEnd w:id="62"/>
      <w:bookmarkEnd w:id="63"/>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业务费项目年初预算数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450万元，</w:t>
      </w:r>
      <w:r>
        <w:rPr>
          <w:rFonts w:hint="eastAsia" w:ascii="仿宋_GB2312" w:hAnsi="仿宋_GB2312" w:eastAsia="仿宋_GB2312" w:cs="仿宋_GB2312"/>
          <w:color w:val="auto"/>
          <w:sz w:val="32"/>
          <w:szCs w:val="32"/>
        </w:rPr>
        <w:t>全年预算数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450</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450</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bookmarkStart w:id="64" w:name="_Toc40046041"/>
      <w:bookmarkStart w:id="65" w:name="_Toc64819710"/>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bookmarkEnd w:id="64"/>
      <w:bookmarkEnd w:id="65"/>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92.54</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严格落实项目资金专款专用，规范经费支出，提高资金使用效益,指导全省理论研究、理论学习、理论宣传工作,及时完成各项宣传活动的举办、宣传材料的印刷及宣传材料的邮寄工作，加强组织调研督导工作和各大主题会议的召开工作，引导社会舆论，把握正确导向,并在政治方向和方针政策方面实施领导。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通过业务费支出，确保省委宣传部日常事务和管理工作顺利开展，充分履行部门各项职能，完成办公设备的购置工作,质量验收合格率达100%，完成年度信息化运行维护工作，保障各项信息系统的运行稳定，为各业务单位日常工作的顺利进行提供有力的基础条件保障。</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cs="仿宋_GB2312"/>
          <w:color w:val="auto"/>
          <w:sz w:val="32"/>
          <w:szCs w:val="32"/>
          <w:lang w:val="en-US" w:eastAsia="zh-CN"/>
        </w:rPr>
        <w:t>全面</w:t>
      </w:r>
      <w:r>
        <w:rPr>
          <w:rFonts w:hint="eastAsia" w:ascii="仿宋_GB2312" w:hAnsi="仿宋_GB2312" w:eastAsia="仿宋_GB2312" w:cs="仿宋_GB2312"/>
          <w:color w:val="auto"/>
          <w:sz w:val="32"/>
          <w:szCs w:val="32"/>
          <w:lang w:eastAsia="zh-CN"/>
        </w:rPr>
        <w:t>保障</w:t>
      </w:r>
      <w:r>
        <w:rPr>
          <w:rFonts w:hint="eastAsia" w:cs="仿宋_GB2312"/>
          <w:color w:val="auto"/>
          <w:sz w:val="32"/>
          <w:szCs w:val="32"/>
          <w:lang w:val="en-US" w:eastAsia="zh-CN"/>
        </w:rPr>
        <w:t>部机关日常运转与核心职能履行，高效完成</w:t>
      </w:r>
      <w:r>
        <w:rPr>
          <w:rFonts w:hint="eastAsia" w:ascii="仿宋_GB2312" w:hAnsi="仿宋_GB2312" w:eastAsia="仿宋_GB2312" w:cs="仿宋_GB2312"/>
          <w:color w:val="auto"/>
          <w:sz w:val="32"/>
          <w:szCs w:val="32"/>
          <w:lang w:eastAsia="zh-CN"/>
        </w:rPr>
        <w:t>调研督导、</w:t>
      </w:r>
      <w:r>
        <w:rPr>
          <w:rFonts w:hint="eastAsia" w:cs="仿宋_GB2312"/>
          <w:color w:val="auto"/>
          <w:sz w:val="32"/>
          <w:szCs w:val="32"/>
          <w:lang w:val="en-US" w:eastAsia="zh-CN"/>
        </w:rPr>
        <w:t>主题宣传、专家评审等工作</w:t>
      </w:r>
      <w:r>
        <w:rPr>
          <w:rFonts w:hint="eastAsia" w:ascii="仿宋_GB2312" w:hAnsi="仿宋_GB2312" w:eastAsia="仿宋_GB2312" w:cs="仿宋_GB2312"/>
          <w:color w:val="auto"/>
          <w:sz w:val="32"/>
          <w:szCs w:val="32"/>
          <w:lang w:eastAsia="zh-CN"/>
        </w:rPr>
        <w:t>。全年印刷宣传材料18084份，邮寄宣传材料数量2000</w:t>
      </w:r>
      <w:r>
        <w:rPr>
          <w:rFonts w:hint="eastAsia" w:ascii="仿宋_GB2312" w:hAnsi="仿宋_GB2312" w:eastAsia="仿宋_GB2312" w:cs="仿宋_GB2312"/>
          <w:color w:val="auto"/>
          <w:sz w:val="32"/>
          <w:szCs w:val="32"/>
          <w:lang w:val="en-US" w:eastAsia="zh-CN"/>
        </w:rPr>
        <w:t>余</w:t>
      </w:r>
      <w:r>
        <w:rPr>
          <w:rFonts w:hint="eastAsia" w:ascii="仿宋_GB2312" w:hAnsi="仿宋_GB2312" w:eastAsia="仿宋_GB2312" w:cs="仿宋_GB2312"/>
          <w:color w:val="auto"/>
          <w:sz w:val="32"/>
          <w:szCs w:val="32"/>
          <w:lang w:eastAsia="zh-CN"/>
        </w:rPr>
        <w:t>份，征刊刊物种类87种，组织专家评审8次，邀请评审专家28次，组织调研督导工作10余次，组织宣传活动7次，基本达到预期目标。</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bookmarkStart w:id="66" w:name="_Toc64819711"/>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bookmarkEnd w:id="66"/>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25</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34.54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86.35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cs="仿宋_GB2312"/>
          <w:color w:val="auto"/>
          <w:sz w:val="32"/>
          <w:szCs w:val="32"/>
          <w:lang w:val="en-US" w:eastAsia="zh-CN" w:bidi="ar"/>
        </w:rPr>
        <w:t>全年</w:t>
      </w:r>
      <w:r>
        <w:rPr>
          <w:rFonts w:hint="eastAsia" w:ascii="仿宋_GB2312" w:hAnsi="仿宋_GB2312" w:eastAsia="仿宋_GB2312" w:cs="仿宋_GB2312"/>
          <w:color w:val="auto"/>
          <w:sz w:val="32"/>
          <w:szCs w:val="32"/>
          <w:lang w:bidi="ar"/>
        </w:rPr>
        <w:t>组织调研督导活动</w:t>
      </w:r>
      <w:r>
        <w:rPr>
          <w:rFonts w:hint="eastAsia" w:ascii="仿宋_GB2312" w:hAnsi="仿宋_GB2312" w:eastAsia="仿宋_GB2312" w:cs="仿宋_GB2312"/>
          <w:color w:val="auto"/>
          <w:sz w:val="32"/>
          <w:szCs w:val="32"/>
          <w:lang w:val="en-US" w:eastAsia="zh-CN" w:bidi="ar"/>
        </w:rPr>
        <w:t>10</w:t>
      </w:r>
      <w:r>
        <w:rPr>
          <w:rFonts w:hint="eastAsia" w:ascii="仿宋_GB2312" w:hAnsi="仿宋_GB2312" w:eastAsia="仿宋_GB2312" w:cs="仿宋_GB2312"/>
          <w:color w:val="auto"/>
          <w:sz w:val="32"/>
          <w:szCs w:val="32"/>
          <w:lang w:bidi="ar"/>
        </w:rPr>
        <w:t>余次，调研督导人数</w:t>
      </w:r>
      <w:r>
        <w:rPr>
          <w:rFonts w:hint="eastAsia" w:ascii="仿宋_GB2312" w:hAnsi="仿宋_GB2312" w:eastAsia="仿宋_GB2312" w:cs="仿宋_GB2312"/>
          <w:color w:val="auto"/>
          <w:sz w:val="32"/>
          <w:szCs w:val="32"/>
          <w:lang w:val="en-US" w:eastAsia="zh-CN" w:bidi="ar"/>
        </w:rPr>
        <w:t>30余</w:t>
      </w:r>
      <w:r>
        <w:rPr>
          <w:rFonts w:hint="eastAsia" w:ascii="仿宋_GB2312" w:hAnsi="仿宋_GB2312" w:eastAsia="仿宋_GB2312" w:cs="仿宋_GB2312"/>
          <w:color w:val="auto"/>
          <w:sz w:val="32"/>
          <w:szCs w:val="32"/>
          <w:lang w:bidi="ar"/>
        </w:rPr>
        <w:t>人次，组织专家评审</w:t>
      </w:r>
      <w:r>
        <w:rPr>
          <w:rFonts w:hint="eastAsia" w:ascii="仿宋_GB2312" w:hAnsi="仿宋_GB2312" w:eastAsia="仿宋_GB2312" w:cs="仿宋_GB2312"/>
          <w:color w:val="auto"/>
          <w:sz w:val="32"/>
          <w:szCs w:val="32"/>
          <w:lang w:val="en-US" w:eastAsia="zh-CN" w:bidi="ar"/>
        </w:rPr>
        <w:t>8</w:t>
      </w:r>
      <w:r>
        <w:rPr>
          <w:rFonts w:hint="eastAsia" w:ascii="仿宋_GB2312" w:hAnsi="仿宋_GB2312" w:eastAsia="仿宋_GB2312" w:cs="仿宋_GB2312"/>
          <w:color w:val="auto"/>
          <w:sz w:val="32"/>
          <w:szCs w:val="32"/>
          <w:lang w:bidi="ar"/>
        </w:rPr>
        <w:t>次，评审专家人数</w:t>
      </w:r>
      <w:r>
        <w:rPr>
          <w:rFonts w:hint="eastAsia" w:ascii="仿宋_GB2312" w:hAnsi="仿宋_GB2312" w:eastAsia="仿宋_GB2312" w:cs="仿宋_GB2312"/>
          <w:color w:val="auto"/>
          <w:sz w:val="32"/>
          <w:szCs w:val="32"/>
          <w:lang w:val="en-US" w:eastAsia="zh-CN" w:bidi="ar"/>
        </w:rPr>
        <w:t>28余</w:t>
      </w:r>
      <w:r>
        <w:rPr>
          <w:rFonts w:hint="eastAsia" w:ascii="仿宋_GB2312" w:hAnsi="仿宋_GB2312" w:eastAsia="仿宋_GB2312" w:cs="仿宋_GB2312"/>
          <w:color w:val="auto"/>
          <w:sz w:val="32"/>
          <w:szCs w:val="32"/>
          <w:lang w:bidi="ar"/>
        </w:rPr>
        <w:t>人次，刊物征订种类</w:t>
      </w:r>
      <w:r>
        <w:rPr>
          <w:rFonts w:hint="eastAsia" w:ascii="仿宋_GB2312" w:hAnsi="仿宋_GB2312" w:eastAsia="仿宋_GB2312" w:cs="仿宋_GB2312"/>
          <w:color w:val="auto"/>
          <w:sz w:val="32"/>
          <w:szCs w:val="32"/>
          <w:lang w:val="en-US" w:eastAsia="zh-CN" w:bidi="ar"/>
        </w:rPr>
        <w:t>87</w:t>
      </w:r>
      <w:r>
        <w:rPr>
          <w:rFonts w:hint="eastAsia" w:ascii="仿宋_GB2312" w:hAnsi="仿宋_GB2312" w:eastAsia="仿宋_GB2312" w:cs="仿宋_GB2312"/>
          <w:color w:val="auto"/>
          <w:sz w:val="32"/>
          <w:szCs w:val="32"/>
          <w:lang w:bidi="ar"/>
        </w:rPr>
        <w:t>余种，印刷材料</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万余份</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val="en-US" w:eastAsia="zh-CN" w:bidi="ar"/>
        </w:rPr>
        <w:t>邮寄材料2000余份</w:t>
      </w:r>
      <w:r>
        <w:rPr>
          <w:rFonts w:hint="eastAsia" w:ascii="仿宋_GB2312" w:hAnsi="仿宋_GB2312" w:eastAsia="仿宋_GB2312" w:cs="仿宋_GB2312"/>
          <w:color w:val="auto"/>
          <w:sz w:val="32"/>
          <w:szCs w:val="32"/>
          <w:lang w:bidi="ar"/>
        </w:rPr>
        <w:t>；全年根据工作安排及缴纳水电暖费用，对公务用车进行日常维修维护，保障了机构的正常运转</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0.82</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20.5</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全年材料邮寄准确率100%</w:t>
      </w:r>
      <w:r>
        <w:rPr>
          <w:rFonts w:hint="eastAsia" w:cs="仿宋_GB2312"/>
          <w:color w:val="auto"/>
          <w:sz w:val="32"/>
          <w:szCs w:val="32"/>
          <w:lang w:eastAsia="zh-CN"/>
        </w:rPr>
        <w:t>、</w:t>
      </w:r>
      <w:r>
        <w:rPr>
          <w:rFonts w:hint="eastAsia" w:ascii="仿宋_GB2312" w:hAnsi="仿宋_GB2312" w:eastAsia="仿宋_GB2312" w:cs="仿宋_GB2312"/>
          <w:color w:val="auto"/>
          <w:sz w:val="32"/>
          <w:szCs w:val="32"/>
          <w:lang w:eastAsia="zh-CN"/>
        </w:rPr>
        <w:t>评审程序规范性</w:t>
      </w:r>
      <w:r>
        <w:rPr>
          <w:rFonts w:hint="eastAsia" w:ascii="仿宋_GB2312" w:hAnsi="仿宋_GB2312" w:eastAsia="仿宋_GB2312" w:cs="仿宋_GB2312"/>
          <w:color w:val="auto"/>
          <w:sz w:val="32"/>
          <w:szCs w:val="32"/>
        </w:rPr>
        <w:t>100%</w:t>
      </w:r>
      <w:r>
        <w:rPr>
          <w:rFonts w:hint="eastAsia" w:cs="仿宋_GB2312"/>
          <w:color w:val="auto"/>
          <w:sz w:val="32"/>
          <w:szCs w:val="32"/>
          <w:lang w:eastAsia="zh-CN"/>
        </w:rPr>
        <w:t>、</w:t>
      </w:r>
      <w:r>
        <w:rPr>
          <w:rFonts w:hint="eastAsia" w:ascii="仿宋_GB2312" w:hAnsi="仿宋_GB2312" w:eastAsia="仿宋_GB2312" w:cs="仿宋_GB2312"/>
          <w:color w:val="auto"/>
          <w:sz w:val="32"/>
          <w:szCs w:val="32"/>
        </w:rPr>
        <w:t>设施设备购买质量合格率100%</w:t>
      </w:r>
      <w:r>
        <w:rPr>
          <w:rFonts w:hint="eastAsia" w:cs="仿宋_GB2312"/>
          <w:color w:val="auto"/>
          <w:sz w:val="32"/>
          <w:szCs w:val="32"/>
          <w:lang w:eastAsia="zh-CN"/>
        </w:rPr>
        <w:t>、</w:t>
      </w:r>
      <w:r>
        <w:rPr>
          <w:rFonts w:hint="eastAsia" w:ascii="仿宋_GB2312" w:hAnsi="仿宋_GB2312" w:eastAsia="仿宋_GB2312" w:cs="仿宋_GB2312"/>
          <w:color w:val="auto"/>
          <w:sz w:val="32"/>
          <w:szCs w:val="32"/>
        </w:rPr>
        <w:t>公务用车运行维护稳定率100%，水电暖保障及时、到位，切实保障了</w:t>
      </w:r>
      <w:r>
        <w:rPr>
          <w:rFonts w:hint="eastAsia" w:ascii="仿宋_GB2312" w:hAnsi="仿宋_GB2312" w:eastAsia="仿宋_GB2312" w:cs="仿宋_GB2312"/>
          <w:color w:val="auto"/>
          <w:sz w:val="32"/>
          <w:szCs w:val="32"/>
          <w:lang w:eastAsia="zh-CN"/>
        </w:rPr>
        <w:t>机关</w:t>
      </w:r>
      <w:r>
        <w:rPr>
          <w:rFonts w:hint="eastAsia" w:ascii="仿宋_GB2312" w:hAnsi="仿宋_GB2312" w:eastAsia="仿宋_GB2312" w:cs="仿宋_GB2312"/>
          <w:color w:val="auto"/>
          <w:sz w:val="32"/>
          <w:szCs w:val="32"/>
        </w:rPr>
        <w:t>的正常运转</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质量指标均达到了预期目标值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19.8</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19.14</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96.67</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lang w:val="en-US" w:eastAsia="zh-CN"/>
        </w:rPr>
        <w:t>全年</w:t>
      </w:r>
      <w:r>
        <w:rPr>
          <w:rFonts w:hint="eastAsia" w:cs="仿宋_GB2312"/>
          <w:color w:val="auto"/>
          <w:sz w:val="32"/>
          <w:szCs w:val="32"/>
          <w:lang w:val="en-US" w:eastAsia="zh-CN"/>
        </w:rPr>
        <w:t>按</w:t>
      </w:r>
      <w:r>
        <w:rPr>
          <w:rFonts w:hint="eastAsia" w:ascii="仿宋_GB2312" w:hAnsi="仿宋_GB2312" w:eastAsia="仿宋_GB2312" w:cs="仿宋_GB2312"/>
          <w:color w:val="auto"/>
          <w:sz w:val="32"/>
          <w:szCs w:val="32"/>
        </w:rPr>
        <w:t>计划完成了组织宣传、组织专家评审、刊物征订、调研督导、材料邮寄、购买第三方服务、设施设备购置及水电暖保障工作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16.2</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14.58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cs="仿宋_GB2312"/>
          <w:color w:val="auto"/>
          <w:sz w:val="32"/>
          <w:szCs w:val="32"/>
          <w:lang w:val="en-US" w:eastAsia="zh-CN"/>
        </w:rPr>
        <w:t>依托</w:t>
      </w:r>
      <w:r>
        <w:rPr>
          <w:rFonts w:hint="eastAsia" w:ascii="仿宋_GB2312" w:hAnsi="仿宋_GB2312" w:eastAsia="仿宋_GB2312" w:cs="仿宋_GB2312"/>
          <w:color w:val="auto"/>
          <w:sz w:val="32"/>
          <w:szCs w:val="32"/>
        </w:rPr>
        <w:t>“学习强国”甘肃学习平台、新时代文明实践中心、县级融媒体中心等阵地，</w:t>
      </w:r>
      <w:r>
        <w:rPr>
          <w:rFonts w:hint="eastAsia" w:ascii="仿宋_GB2312" w:hAnsi="仿宋_GB2312" w:eastAsia="仿宋_GB2312" w:cs="仿宋_GB2312"/>
          <w:color w:val="auto"/>
          <w:sz w:val="32"/>
          <w:szCs w:val="32"/>
          <w:lang w:eastAsia="zh-CN"/>
        </w:rPr>
        <w:t>开</w:t>
      </w:r>
      <w:r>
        <w:rPr>
          <w:rFonts w:hint="eastAsia" w:ascii="仿宋_GB2312" w:hAnsi="仿宋_GB2312" w:eastAsia="仿宋_GB2312" w:cs="仿宋_GB2312"/>
          <w:color w:val="auto"/>
          <w:sz w:val="32"/>
          <w:szCs w:val="32"/>
        </w:rPr>
        <w:t>展理论</w:t>
      </w:r>
      <w:r>
        <w:rPr>
          <w:rFonts w:hint="eastAsia" w:cs="仿宋_GB2312"/>
          <w:color w:val="auto"/>
          <w:sz w:val="32"/>
          <w:szCs w:val="32"/>
          <w:lang w:val="en-US" w:eastAsia="zh-CN"/>
        </w:rPr>
        <w:t>宣讲与政策普及</w:t>
      </w:r>
      <w:r>
        <w:rPr>
          <w:rFonts w:hint="eastAsia" w:ascii="仿宋_GB2312" w:hAnsi="仿宋_GB2312" w:eastAsia="仿宋_GB2312" w:cs="仿宋_GB2312"/>
          <w:color w:val="auto"/>
          <w:sz w:val="32"/>
          <w:szCs w:val="32"/>
        </w:rPr>
        <w:t>，群众政策知晓率</w:t>
      </w:r>
      <w:r>
        <w:rPr>
          <w:rFonts w:hint="eastAsia" w:cs="仿宋_GB2312"/>
          <w:color w:val="auto"/>
          <w:sz w:val="32"/>
          <w:szCs w:val="32"/>
          <w:lang w:val="en-US" w:eastAsia="zh-CN"/>
        </w:rPr>
        <w:t>达</w:t>
      </w:r>
      <w:r>
        <w:rPr>
          <w:rFonts w:hint="eastAsia" w:ascii="仿宋_GB2312" w:hAnsi="仿宋_GB2312" w:eastAsia="仿宋_GB2312" w:cs="仿宋_GB2312"/>
          <w:color w:val="auto"/>
          <w:sz w:val="32"/>
          <w:szCs w:val="32"/>
        </w:rPr>
        <w:t>80%，</w:t>
      </w:r>
      <w:r>
        <w:rPr>
          <w:rFonts w:hint="eastAsia" w:cs="仿宋_GB2312"/>
          <w:color w:val="auto"/>
          <w:sz w:val="32"/>
          <w:szCs w:val="32"/>
          <w:lang w:val="en-US" w:eastAsia="zh-CN"/>
        </w:rPr>
        <w:t>圆满完成</w:t>
      </w:r>
      <w:r>
        <w:rPr>
          <w:rFonts w:hint="eastAsia" w:ascii="仿宋_GB2312" w:hAnsi="仿宋_GB2312" w:eastAsia="仿宋_GB2312" w:cs="仿宋_GB2312"/>
          <w:color w:val="auto"/>
          <w:sz w:val="32"/>
          <w:szCs w:val="32"/>
        </w:rPr>
        <w:t>预期目标值。指标分值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w:t>
      </w:r>
      <w:r>
        <w:rPr>
          <w:rFonts w:hint="eastAsia" w:ascii="仿宋_GB2312" w:hAnsi="仿宋_GB2312" w:eastAsia="仿宋_GB2312" w:cs="仿宋_GB2312"/>
          <w:color w:val="auto"/>
          <w:sz w:val="32"/>
          <w:szCs w:val="32"/>
          <w:lang w:eastAsia="zh-CN" w:bidi="ar"/>
        </w:rPr>
        <w:t>服务对象满意度指标</w:t>
      </w:r>
      <w:r>
        <w:rPr>
          <w:rFonts w:hint="eastAsia" w:ascii="仿宋_GB2312" w:hAnsi="仿宋_GB2312" w:eastAsia="仿宋_GB2312" w:cs="仿宋_GB2312"/>
          <w:color w:val="auto"/>
          <w:sz w:val="32"/>
          <w:szCs w:val="32"/>
          <w:lang w:val="en-US" w:eastAsia="zh-CN" w:bidi="ar"/>
        </w:rPr>
        <w:t>1个二级指标，</w:t>
      </w:r>
      <w:r>
        <w:rPr>
          <w:rFonts w:hint="eastAsia" w:ascii="仿宋_GB2312" w:hAnsi="仿宋_GB2312" w:eastAsia="仿宋_GB2312" w:cs="仿宋_GB2312"/>
          <w:color w:val="auto"/>
          <w:sz w:val="32"/>
          <w:szCs w:val="32"/>
          <w:lang w:bidi="ar"/>
        </w:rPr>
        <w:t>2个三级指标，指标总分值10分，自评得分10分，得分率100%。指标分析如下：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服务对象满意度</w:t>
      </w:r>
      <w:r>
        <w:rPr>
          <w:rFonts w:hint="eastAsia" w:ascii="仿宋_GB2312" w:hAnsi="仿宋_GB2312" w:eastAsia="仿宋_GB2312" w:cs="仿宋_GB2312"/>
          <w:b/>
          <w:bCs/>
          <w:color w:val="auto"/>
          <w:sz w:val="32"/>
          <w:szCs w:val="32"/>
        </w:rPr>
        <w:t>指标：</w:t>
      </w:r>
      <w:r>
        <w:rPr>
          <w:rFonts w:hint="eastAsia" w:cs="仿宋_GB2312"/>
          <w:color w:val="auto"/>
          <w:sz w:val="32"/>
          <w:szCs w:val="32"/>
          <w:lang w:val="en-US" w:eastAsia="zh-CN"/>
        </w:rPr>
        <w:t>全年</w:t>
      </w:r>
      <w:r>
        <w:rPr>
          <w:rFonts w:hint="eastAsia" w:ascii="仿宋_GB2312" w:hAnsi="仿宋_GB2312" w:eastAsia="仿宋_GB2312" w:cs="仿宋_GB2312"/>
          <w:color w:val="auto"/>
          <w:sz w:val="32"/>
          <w:szCs w:val="32"/>
        </w:rPr>
        <w:t>通过业务费的实施</w:t>
      </w:r>
      <w:r>
        <w:rPr>
          <w:rFonts w:hint="eastAsia" w:cs="仿宋_GB2312"/>
          <w:color w:val="auto"/>
          <w:sz w:val="32"/>
          <w:szCs w:val="32"/>
          <w:lang w:eastAsia="zh-CN"/>
        </w:rPr>
        <w:t>，</w:t>
      </w:r>
      <w:r>
        <w:rPr>
          <w:rFonts w:hint="eastAsia" w:cs="仿宋_GB2312"/>
          <w:color w:val="auto"/>
          <w:sz w:val="32"/>
          <w:szCs w:val="32"/>
          <w:lang w:val="en-US" w:eastAsia="zh-CN"/>
        </w:rPr>
        <w:t>有效</w:t>
      </w:r>
      <w:r>
        <w:rPr>
          <w:rFonts w:hint="eastAsia" w:ascii="仿宋_GB2312" w:hAnsi="仿宋_GB2312" w:eastAsia="仿宋_GB2312" w:cs="仿宋_GB2312"/>
          <w:color w:val="auto"/>
          <w:sz w:val="32"/>
          <w:szCs w:val="32"/>
        </w:rPr>
        <w:t>保障了各项工作的顺利开展，得</w:t>
      </w:r>
      <w:r>
        <w:rPr>
          <w:rFonts w:hint="eastAsia" w:ascii="仿宋_GB2312" w:hAnsi="仿宋_GB2312" w:eastAsia="仿宋_GB2312" w:cs="仿宋_GB2312"/>
          <w:color w:val="auto"/>
          <w:sz w:val="32"/>
          <w:szCs w:val="32"/>
          <w:lang w:eastAsia="zh-CN"/>
        </w:rPr>
        <w:t>到</w:t>
      </w:r>
      <w:r>
        <w:rPr>
          <w:rFonts w:hint="eastAsia" w:ascii="仿宋_GB2312" w:hAnsi="仿宋_GB2312" w:eastAsia="仿宋_GB2312" w:cs="仿宋_GB2312"/>
          <w:color w:val="auto"/>
          <w:sz w:val="32"/>
          <w:szCs w:val="32"/>
        </w:rPr>
        <w:t>机关工作人员的充分认可，机关工作人员满意度为</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我部坚持稳中求进、守正创新、担当作为，全省宣传思想文化各项工作取得新进展新成效，为努力谱写加快建设幸福美好新甘肃、不断开创富民兴陇新局面时代篇章提供了坚强思想保证和强大精神力量，得到了人民群众广泛的认同，群众满意度为</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满意度指标均达到了预期目标值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lang w:val="en-US" w:eastAsia="zh-CN"/>
        </w:rPr>
        <w:t>所有支出控制在</w:t>
      </w:r>
      <w:r>
        <w:rPr>
          <w:rFonts w:hint="eastAsia" w:cs="仿宋_GB2312"/>
          <w:color w:val="auto"/>
          <w:sz w:val="32"/>
          <w:szCs w:val="32"/>
          <w:lang w:val="en-US" w:eastAsia="zh-CN"/>
        </w:rPr>
        <w:t>450</w:t>
      </w:r>
      <w:r>
        <w:rPr>
          <w:rFonts w:hint="eastAsia" w:ascii="仿宋_GB2312" w:hAnsi="仿宋_GB2312" w:eastAsia="仿宋_GB2312" w:cs="仿宋_GB2312"/>
          <w:color w:val="auto"/>
          <w:sz w:val="32"/>
          <w:szCs w:val="32"/>
          <w:lang w:val="en-US" w:eastAsia="zh-CN"/>
        </w:rPr>
        <w:t>万元预算范围内，成本管控合规有效。</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bookmarkStart w:id="67" w:name="_Toc64819712"/>
      <w:bookmarkStart w:id="68" w:name="_Toc40046043"/>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bookmarkEnd w:id="67"/>
      <w:bookmarkEnd w:id="68"/>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lang w:val="en-US" w:eastAsia="zh-CN"/>
        </w:rPr>
      </w:pPr>
      <w:bookmarkStart w:id="69" w:name="_Toc23192"/>
      <w:r>
        <w:rPr>
          <w:rFonts w:hint="eastAsia" w:ascii="仿宋_GB2312" w:hAnsi="仿宋_GB2312" w:eastAsia="仿宋_GB2312" w:cs="仿宋_GB2312"/>
          <w:b/>
          <w:bCs/>
          <w:color w:val="auto"/>
          <w:sz w:val="32"/>
          <w:szCs w:val="32"/>
          <w:lang w:val="en-US" w:eastAsia="zh-CN"/>
        </w:rPr>
        <w:t>部分产出指标</w:t>
      </w:r>
      <w:r>
        <w:rPr>
          <w:rFonts w:hint="eastAsia" w:cs="仿宋_GB2312"/>
          <w:b/>
          <w:bCs/>
          <w:color w:val="auto"/>
          <w:sz w:val="32"/>
          <w:szCs w:val="32"/>
          <w:lang w:val="en-US" w:eastAsia="zh-CN"/>
        </w:rPr>
        <w:t>完成率偏低</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color w:val="auto"/>
          <w:sz w:val="32"/>
          <w:szCs w:val="32"/>
          <w:lang w:val="en-US" w:eastAsia="zh-CN"/>
        </w:rPr>
        <w:t>主要原因：</w:t>
      </w:r>
      <w:r>
        <w:rPr>
          <w:rFonts w:hint="eastAsia" w:cs="仿宋_GB2312"/>
          <w:color w:val="auto"/>
          <w:sz w:val="32"/>
          <w:szCs w:val="32"/>
          <w:lang w:val="en-US" w:eastAsia="zh-CN"/>
        </w:rPr>
        <w:t>一是年初绩效目标设定缺乏充分调研，与实际工作匹配性不足</w:t>
      </w:r>
      <w:r>
        <w:rPr>
          <w:rFonts w:hint="eastAsia" w:ascii="仿宋_GB2312" w:hAnsi="仿宋_GB2312" w:eastAsia="仿宋_GB2312" w:cs="仿宋_GB2312"/>
          <w:color w:val="auto"/>
          <w:sz w:val="32"/>
          <w:szCs w:val="32"/>
          <w:lang w:val="en-US" w:eastAsia="zh-CN"/>
        </w:rPr>
        <w:t>，如调研督导人数、举办宣传活动次数、组织调研督导活动次数等指标的实际完成情况与预期目标</w:t>
      </w:r>
      <w:r>
        <w:rPr>
          <w:rFonts w:hint="eastAsia" w:cs="仿宋_GB2312"/>
          <w:color w:val="auto"/>
          <w:sz w:val="32"/>
          <w:szCs w:val="32"/>
          <w:lang w:val="en-US" w:eastAsia="zh-CN"/>
        </w:rPr>
        <w:t>存在差距</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二是</w:t>
      </w:r>
      <w:r>
        <w:rPr>
          <w:rFonts w:hint="eastAsia" w:ascii="仿宋_GB2312" w:hAnsi="仿宋_GB2312" w:eastAsia="仿宋_GB2312" w:cs="仿宋_GB2312"/>
          <w:color w:val="auto"/>
          <w:sz w:val="32"/>
          <w:szCs w:val="32"/>
          <w:lang w:val="en-US" w:eastAsia="zh-CN"/>
        </w:rPr>
        <w:t>部分工作在项目预算细化时</w:t>
      </w:r>
      <w:r>
        <w:rPr>
          <w:rFonts w:hint="eastAsia" w:cs="仿宋_GB2312"/>
          <w:color w:val="auto"/>
          <w:sz w:val="32"/>
          <w:szCs w:val="32"/>
          <w:lang w:val="en-US" w:eastAsia="zh-CN"/>
        </w:rPr>
        <w:t>调整至</w:t>
      </w:r>
      <w:r>
        <w:rPr>
          <w:rFonts w:hint="eastAsia" w:ascii="仿宋_GB2312" w:hAnsi="仿宋_GB2312" w:eastAsia="仿宋_GB2312" w:cs="仿宋_GB2312"/>
          <w:color w:val="auto"/>
          <w:sz w:val="32"/>
          <w:szCs w:val="32"/>
          <w:lang w:val="en-US" w:eastAsia="zh-CN"/>
        </w:rPr>
        <w:t>公用经费或</w:t>
      </w:r>
      <w:r>
        <w:rPr>
          <w:rFonts w:hint="eastAsia" w:cs="仿宋_GB2312"/>
          <w:color w:val="auto"/>
          <w:sz w:val="32"/>
          <w:szCs w:val="32"/>
          <w:lang w:val="en-US" w:eastAsia="zh-CN"/>
        </w:rPr>
        <w:t>其他</w:t>
      </w:r>
      <w:r>
        <w:rPr>
          <w:rFonts w:hint="eastAsia" w:ascii="仿宋_GB2312" w:hAnsi="仿宋_GB2312" w:eastAsia="仿宋_GB2312" w:cs="仿宋_GB2312"/>
          <w:color w:val="auto"/>
          <w:sz w:val="32"/>
          <w:szCs w:val="32"/>
          <w:lang w:val="en-US" w:eastAsia="zh-CN"/>
        </w:rPr>
        <w:t>专项列支，未在</w:t>
      </w:r>
      <w:r>
        <w:rPr>
          <w:rFonts w:hint="eastAsia" w:cs="仿宋_GB2312"/>
          <w:color w:val="auto"/>
          <w:sz w:val="32"/>
          <w:szCs w:val="32"/>
          <w:lang w:val="en-US" w:eastAsia="zh-CN"/>
        </w:rPr>
        <w:t>本专项核算</w:t>
      </w:r>
      <w:r>
        <w:rPr>
          <w:rFonts w:hint="eastAsia" w:ascii="仿宋_GB2312" w:hAnsi="仿宋_GB2312" w:eastAsia="仿宋_GB2312" w:cs="仿宋_GB2312"/>
          <w:color w:val="auto"/>
          <w:sz w:val="32"/>
          <w:szCs w:val="32"/>
          <w:lang w:val="en-US" w:eastAsia="zh-CN"/>
        </w:rPr>
        <w:t>。下一步，我部将</w:t>
      </w:r>
      <w:r>
        <w:rPr>
          <w:rFonts w:hint="eastAsia" w:cs="仿宋_GB2312"/>
          <w:color w:val="auto"/>
          <w:sz w:val="32"/>
          <w:szCs w:val="32"/>
          <w:lang w:val="en-US" w:eastAsia="zh-CN"/>
        </w:rPr>
        <w:t>强化</w:t>
      </w:r>
      <w:r>
        <w:rPr>
          <w:rFonts w:hint="eastAsia" w:ascii="仿宋_GB2312" w:hAnsi="仿宋_GB2312" w:eastAsia="仿宋_GB2312" w:cs="仿宋_GB2312"/>
          <w:color w:val="auto"/>
          <w:sz w:val="32"/>
          <w:szCs w:val="32"/>
          <w:lang w:val="en-US" w:eastAsia="zh-CN"/>
        </w:rPr>
        <w:t>项目前期</w:t>
      </w:r>
      <w:r>
        <w:rPr>
          <w:rFonts w:hint="eastAsia" w:cs="仿宋_GB2312"/>
          <w:color w:val="auto"/>
          <w:sz w:val="32"/>
          <w:szCs w:val="32"/>
          <w:lang w:val="en-US" w:eastAsia="zh-CN"/>
        </w:rPr>
        <w:t>论证，</w:t>
      </w:r>
      <w:r>
        <w:rPr>
          <w:rFonts w:hint="eastAsia" w:ascii="仿宋_GB2312" w:hAnsi="仿宋_GB2312" w:eastAsia="仿宋_GB2312" w:cs="仿宋_GB2312"/>
          <w:color w:val="auto"/>
          <w:sz w:val="32"/>
          <w:szCs w:val="32"/>
          <w:lang w:val="en-US" w:eastAsia="zh-CN"/>
        </w:rPr>
        <w:t>科学</w:t>
      </w:r>
      <w:r>
        <w:rPr>
          <w:rFonts w:hint="eastAsia" w:cs="仿宋_GB2312"/>
          <w:color w:val="auto"/>
          <w:sz w:val="32"/>
          <w:szCs w:val="32"/>
          <w:lang w:val="en-US" w:eastAsia="zh-CN"/>
        </w:rPr>
        <w:t>精准</w:t>
      </w:r>
      <w:r>
        <w:rPr>
          <w:rFonts w:hint="eastAsia" w:ascii="仿宋_GB2312" w:hAnsi="仿宋_GB2312" w:eastAsia="仿宋_GB2312" w:cs="仿宋_GB2312"/>
          <w:color w:val="auto"/>
          <w:sz w:val="32"/>
          <w:szCs w:val="32"/>
          <w:lang w:val="en-US" w:eastAsia="zh-CN"/>
        </w:rPr>
        <w:t>设定绩效目标，提升目标的可操作性</w:t>
      </w:r>
      <w:r>
        <w:rPr>
          <w:rFonts w:hint="eastAsia" w:cs="仿宋_GB2312"/>
          <w:color w:val="auto"/>
          <w:sz w:val="32"/>
          <w:szCs w:val="32"/>
          <w:lang w:val="en-US" w:eastAsia="zh-CN"/>
        </w:rPr>
        <w:t>；规范经费列支渠道，确保项目核算清晰准确</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（二）项目2</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宣传文化发展专项</w:t>
      </w:r>
      <w:bookmarkEnd w:id="69"/>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641" w:leftChars="229" w:right="0" w:rightChars="0" w:firstLine="0" w:firstLineChars="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项目支出预算执行情况</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宣传文化发展专项年初预算数</w:t>
      </w:r>
      <w:r>
        <w:rPr>
          <w:rFonts w:hint="eastAsia" w:ascii="仿宋_GB2312" w:hAnsi="仿宋_GB2312" w:eastAsia="仿宋_GB2312" w:cs="仿宋_GB2312"/>
          <w:color w:val="auto"/>
          <w:sz w:val="32"/>
          <w:szCs w:val="32"/>
          <w:lang w:val="en-US" w:eastAsia="zh-CN"/>
        </w:rPr>
        <w:t>1000万元，</w:t>
      </w:r>
      <w:r>
        <w:rPr>
          <w:rFonts w:hint="eastAsia" w:ascii="仿宋_GB2312" w:hAnsi="仿宋_GB2312" w:eastAsia="仿宋_GB2312" w:cs="仿宋_GB2312"/>
          <w:color w:val="auto"/>
          <w:sz w:val="32"/>
          <w:szCs w:val="32"/>
        </w:rPr>
        <w:t>全年预算数</w:t>
      </w:r>
      <w:r>
        <w:rPr>
          <w:rFonts w:hint="eastAsia" w:ascii="仿宋_GB2312" w:hAnsi="仿宋_GB2312" w:eastAsia="仿宋_GB2312" w:cs="仿宋_GB2312"/>
          <w:color w:val="auto"/>
          <w:sz w:val="32"/>
          <w:szCs w:val="32"/>
          <w:lang w:val="en-US" w:eastAsia="zh-CN"/>
        </w:rPr>
        <w:t>970</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970</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总体绩效目标完成情况分析</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本项目自评得分</w:t>
      </w:r>
      <w:r>
        <w:rPr>
          <w:rFonts w:hint="eastAsia" w:ascii="仿宋_GB2312" w:hAnsi="仿宋_GB2312" w:eastAsia="仿宋_GB2312" w:cs="仿宋_GB2312"/>
          <w:color w:val="auto"/>
          <w:sz w:val="32"/>
          <w:szCs w:val="32"/>
          <w:lang w:val="en-US" w:eastAsia="zh-CN"/>
        </w:rPr>
        <w:t>91.98</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贯彻落实党对宣传工作的方针政策和决策部署，统筹协调意识形态工作，指导协调理论、新闻、舆论、文艺、新闻出版和电影工作，积极按时组织开展各类主题的宣传活动，加强培训工作，培养壮大一批文化创作和文化活动组织人才，确保专业的事有专业的人做。</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统筹指导社会主义核心价值观建设，组织召开各大主题会议，完成调研督导工作和全省出版物审读工作，参与调研督导人数200人以上，组织调研督导工作20次以上，出版物审读1次以上，按计划完成年度文化精品创作与推广工作，指导文化体制改革和文化事业文化产业发展，指导全省宣传文化思想战线开展工作。</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b w:val="0"/>
          <w:bCs w:val="0"/>
          <w:color w:val="auto"/>
          <w:sz w:val="32"/>
          <w:szCs w:val="32"/>
          <w:lang w:val="en-US" w:eastAsia="zh-CN"/>
        </w:rPr>
        <w:t>2025年，省委宣传部按照中宣部和省委统一安排，严格贯彻落实党对宣传思想文化工作的方针政策和决策部署，统筹协调全省意识形态工作，指导协调理论、新闻、舆论、文艺、新闻出版和电影工作，积极按时组织开展各类宣传活动23次，</w:t>
      </w:r>
      <w:r>
        <w:rPr>
          <w:rFonts w:hint="eastAsia" w:cs="仿宋_GB2312"/>
          <w:b w:val="0"/>
          <w:bCs w:val="0"/>
          <w:color w:val="auto"/>
          <w:sz w:val="32"/>
          <w:szCs w:val="32"/>
          <w:lang w:val="en-US" w:eastAsia="zh-CN"/>
        </w:rPr>
        <w:t>调研督导20余次、参与人数200余人次，</w:t>
      </w:r>
      <w:r>
        <w:rPr>
          <w:rFonts w:hint="eastAsia" w:ascii="仿宋_GB2312" w:hAnsi="仿宋_GB2312" w:eastAsia="仿宋_GB2312" w:cs="仿宋_GB2312"/>
          <w:b w:val="0"/>
          <w:bCs w:val="0"/>
          <w:color w:val="auto"/>
          <w:sz w:val="32"/>
          <w:szCs w:val="32"/>
          <w:lang w:val="en-US" w:eastAsia="zh-CN"/>
        </w:rPr>
        <w:t>组织出版物固定审读12次，实现了预期目标。</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各项指标完成情况分析</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eastAsia="zh-CN" w:bidi="ar"/>
        </w:rPr>
        <w:t>等</w:t>
      </w:r>
      <w:r>
        <w:rPr>
          <w:rFonts w:hint="eastAsia" w:ascii="仿宋_GB2312" w:hAnsi="仿宋_GB2312" w:eastAsia="仿宋_GB2312" w:cs="仿宋_GB2312"/>
          <w:color w:val="auto"/>
          <w:sz w:val="32"/>
          <w:szCs w:val="32"/>
          <w:lang w:bidi="ar"/>
        </w:rPr>
        <w:t>3个二级指标，</w:t>
      </w:r>
      <w:r>
        <w:rPr>
          <w:rFonts w:hint="eastAsia" w:ascii="仿宋_GB2312" w:hAnsi="仿宋_GB2312" w:eastAsia="仿宋_GB2312" w:cs="仿宋_GB2312"/>
          <w:color w:val="auto"/>
          <w:sz w:val="32"/>
          <w:szCs w:val="32"/>
          <w:lang w:val="en-US" w:eastAsia="zh-CN" w:bidi="ar"/>
        </w:rPr>
        <w:t>12</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35.98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89.95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组织调研督导工作</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余次，参与调研督导人数达</w:t>
      </w:r>
      <w:r>
        <w:rPr>
          <w:rFonts w:hint="eastAsia" w:ascii="仿宋_GB2312" w:hAnsi="仿宋_GB2312" w:eastAsia="仿宋_GB2312" w:cs="仿宋_GB2312"/>
          <w:color w:val="auto"/>
          <w:sz w:val="32"/>
          <w:szCs w:val="32"/>
          <w:lang w:val="en-US" w:eastAsia="zh-CN" w:bidi="ar"/>
        </w:rPr>
        <w:t>200</w:t>
      </w:r>
      <w:r>
        <w:rPr>
          <w:rFonts w:hint="eastAsia" w:ascii="仿宋_GB2312" w:hAnsi="仿宋_GB2312" w:eastAsia="仿宋_GB2312" w:cs="仿宋_GB2312"/>
          <w:color w:val="auto"/>
          <w:sz w:val="32"/>
          <w:szCs w:val="32"/>
          <w:lang w:bidi="ar"/>
        </w:rPr>
        <w:t>余人次，组织宣传活动</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余次，</w:t>
      </w:r>
      <w:r>
        <w:rPr>
          <w:rFonts w:hint="eastAsia" w:ascii="仿宋_GB2312" w:hAnsi="仿宋_GB2312" w:eastAsia="仿宋_GB2312" w:cs="仿宋_GB2312"/>
          <w:color w:val="auto"/>
          <w:sz w:val="32"/>
          <w:szCs w:val="32"/>
          <w:lang w:val="en-US" w:eastAsia="zh-CN" w:bidi="ar"/>
        </w:rPr>
        <w:t>出版物固定审读12次，</w:t>
      </w:r>
      <w:r>
        <w:rPr>
          <w:rFonts w:hint="eastAsia" w:ascii="仿宋_GB2312" w:hAnsi="仿宋_GB2312" w:eastAsia="仿宋_GB2312" w:cs="仿宋_GB2312"/>
          <w:color w:val="auto"/>
          <w:sz w:val="32"/>
          <w:szCs w:val="32"/>
          <w:lang w:bidi="ar"/>
        </w:rPr>
        <w:t>各项工作均保质保量完成</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1.38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69</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lang w:eastAsia="zh-CN"/>
        </w:rPr>
        <w:t>调研督导有效性</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审读人员资质符合率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cs="仿宋_GB2312"/>
          <w:color w:val="auto"/>
          <w:sz w:val="32"/>
          <w:szCs w:val="32"/>
          <w:lang w:val="en-US" w:eastAsia="zh-CN"/>
        </w:rPr>
        <w:t>各项</w:t>
      </w:r>
      <w:r>
        <w:rPr>
          <w:rFonts w:hint="eastAsia" w:ascii="仿宋_GB2312" w:hAnsi="仿宋_GB2312" w:eastAsia="仿宋_GB2312" w:cs="仿宋_GB2312"/>
          <w:color w:val="auto"/>
          <w:sz w:val="32"/>
          <w:szCs w:val="32"/>
        </w:rPr>
        <w:t>指标均达到了预期目标值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11.2</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93.34</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cs="仿宋_GB2312"/>
          <w:color w:val="auto"/>
          <w:sz w:val="32"/>
          <w:szCs w:val="32"/>
          <w:lang w:val="en-US" w:eastAsia="zh-CN"/>
        </w:rPr>
        <w:t>全年按</w:t>
      </w:r>
      <w:r>
        <w:rPr>
          <w:rFonts w:hint="eastAsia" w:ascii="仿宋_GB2312" w:hAnsi="仿宋_GB2312" w:eastAsia="仿宋_GB2312" w:cs="仿宋_GB2312"/>
          <w:color w:val="auto"/>
          <w:sz w:val="32"/>
          <w:szCs w:val="32"/>
        </w:rPr>
        <w:t>计划完成了组织宣传、调研督导、出版物审读、参与扶贫等工作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23.4</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年我部加快文化强省建设，努力推动全省文化事业产业发展，强化公共文化服务供给，</w:t>
      </w:r>
      <w:r>
        <w:rPr>
          <w:rFonts w:hint="eastAsia" w:ascii="仿宋_GB2312" w:hAnsi="仿宋_GB2312" w:eastAsia="仿宋_GB2312" w:cs="仿宋_GB2312"/>
          <w:color w:val="auto"/>
          <w:sz w:val="32"/>
          <w:szCs w:val="32"/>
          <w:lang w:eastAsia="zh-CN"/>
        </w:rPr>
        <w:t>积极开</w:t>
      </w:r>
      <w:r>
        <w:rPr>
          <w:rFonts w:hint="eastAsia" w:ascii="仿宋_GB2312" w:hAnsi="仿宋_GB2312" w:eastAsia="仿宋_GB2312" w:cs="仿宋_GB2312"/>
          <w:color w:val="auto"/>
          <w:sz w:val="32"/>
          <w:szCs w:val="32"/>
        </w:rPr>
        <w:t>展理论和形势政策宣讲志愿服务活动，推动党的创新理论走进千家万户，群众政策知晓率为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%，达到预期目标值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w:t>
      </w:r>
      <w:r>
        <w:rPr>
          <w:rFonts w:hint="eastAsia" w:ascii="仿宋_GB2312" w:hAnsi="仿宋_GB2312" w:eastAsia="仿宋_GB2312" w:cs="仿宋_GB2312"/>
          <w:color w:val="auto"/>
          <w:sz w:val="32"/>
          <w:szCs w:val="32"/>
          <w:lang w:eastAsia="zh-CN" w:bidi="ar"/>
        </w:rPr>
        <w:t>服务对象满意度指标</w:t>
      </w:r>
      <w:r>
        <w:rPr>
          <w:rFonts w:hint="eastAsia" w:ascii="仿宋_GB2312" w:hAnsi="仿宋_GB2312" w:eastAsia="仿宋_GB2312" w:cs="仿宋_GB2312"/>
          <w:color w:val="auto"/>
          <w:sz w:val="32"/>
          <w:szCs w:val="32"/>
          <w:lang w:val="en-US" w:eastAsia="zh-CN" w:bidi="ar"/>
        </w:rPr>
        <w:t>1个二级指标，</w:t>
      </w:r>
      <w:r>
        <w:rPr>
          <w:rFonts w:hint="eastAsia" w:ascii="仿宋_GB2312" w:hAnsi="仿宋_GB2312" w:eastAsia="仿宋_GB2312" w:cs="仿宋_GB2312"/>
          <w:color w:val="auto"/>
          <w:sz w:val="32"/>
          <w:szCs w:val="32"/>
          <w:lang w:bidi="ar"/>
        </w:rPr>
        <w:t>2个三级指标，指标总分值10分，自评得分10分，得分率100%。指标分析如下：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坚持稳中求进、守正创新、担当作为，全省宣传思想文化各项工作取得新进展新成效，为努力谱写加快建设幸福美好新甘肃、不断开创富民兴陇新局面时代篇章提供了坚强思想保证和强大精神力量，得到了社会大众较为广泛的认同，受益社会大众满意度为</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r>
        <w:rPr>
          <w:rFonts w:hint="eastAsia" w:cs="仿宋_GB2312"/>
          <w:color w:val="auto"/>
          <w:sz w:val="32"/>
          <w:szCs w:val="32"/>
          <w:lang w:eastAsia="zh-CN"/>
        </w:rPr>
        <w:t>；</w:t>
      </w:r>
      <w:r>
        <w:rPr>
          <w:rFonts w:hint="eastAsia" w:ascii="仿宋_GB2312" w:hAnsi="仿宋_GB2312" w:eastAsia="仿宋_GB2312" w:cs="仿宋_GB2312"/>
          <w:color w:val="auto"/>
          <w:sz w:val="32"/>
          <w:szCs w:val="32"/>
          <w:lang w:eastAsia="zh-CN"/>
        </w:rPr>
        <w:t>积极组织各类培训，培训人员满意率为</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达到了预期目标值。指标分值合计10分，按评分标准得10分，得分率100%。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cs="仿宋_GB2312"/>
          <w:color w:val="auto"/>
          <w:sz w:val="32"/>
          <w:szCs w:val="32"/>
          <w:lang w:val="en-US" w:eastAsia="zh-CN"/>
        </w:rPr>
        <w:t>所有支出均控制在1000万元预算范围内，成本管理规范</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cs="仿宋_GB2312"/>
          <w:color w:val="auto"/>
          <w:sz w:val="32"/>
          <w:szCs w:val="32"/>
          <w:lang w:val="en-US" w:eastAsia="zh-CN"/>
        </w:rPr>
      </w:pPr>
      <w:bookmarkStart w:id="70" w:name="_Toc31487"/>
      <w:r>
        <w:rPr>
          <w:rFonts w:hint="eastAsia" w:cs="仿宋_GB2312"/>
          <w:b/>
          <w:bCs/>
          <w:color w:val="auto"/>
          <w:sz w:val="32"/>
          <w:szCs w:val="32"/>
          <w:lang w:val="en-US" w:eastAsia="zh-CN"/>
        </w:rPr>
        <w:t>部分产出指标完成率偏低</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color w:val="auto"/>
          <w:sz w:val="32"/>
          <w:szCs w:val="32"/>
          <w:lang w:val="en-US" w:eastAsia="zh-CN"/>
        </w:rPr>
        <w:t>主要原因是：</w:t>
      </w:r>
      <w:r>
        <w:rPr>
          <w:rFonts w:hint="eastAsia" w:cs="仿宋_GB2312"/>
          <w:color w:val="auto"/>
          <w:sz w:val="32"/>
          <w:szCs w:val="32"/>
          <w:lang w:val="en-US" w:eastAsia="zh-CN"/>
        </w:rPr>
        <w:t>一是</w:t>
      </w:r>
      <w:r>
        <w:rPr>
          <w:rFonts w:hint="eastAsia" w:ascii="仿宋_GB2312" w:hAnsi="仿宋_GB2312" w:eastAsia="仿宋_GB2312" w:cs="仿宋_GB2312"/>
          <w:color w:val="auto"/>
          <w:sz w:val="32"/>
          <w:szCs w:val="32"/>
          <w:lang w:val="en-US" w:eastAsia="zh-CN"/>
        </w:rPr>
        <w:t>部分指标年初目标设置</w:t>
      </w:r>
      <w:r>
        <w:rPr>
          <w:rFonts w:hint="eastAsia" w:cs="仿宋_GB2312"/>
          <w:color w:val="auto"/>
          <w:sz w:val="32"/>
          <w:szCs w:val="32"/>
          <w:lang w:val="en-US" w:eastAsia="zh-CN"/>
        </w:rPr>
        <w:t>未充分结合实际工作体量</w:t>
      </w:r>
      <w:r>
        <w:rPr>
          <w:rFonts w:hint="eastAsia" w:ascii="仿宋_GB2312" w:hAnsi="仿宋_GB2312" w:eastAsia="仿宋_GB2312" w:cs="仿宋_GB2312"/>
          <w:color w:val="auto"/>
          <w:sz w:val="32"/>
          <w:szCs w:val="32"/>
          <w:lang w:val="en-US" w:eastAsia="zh-CN"/>
        </w:rPr>
        <w:t>，如调研督导人数、举办宣传活动次数、组织调研督导活动次数等指标的实际完成情况与预期目标</w:t>
      </w:r>
      <w:r>
        <w:rPr>
          <w:rFonts w:hint="eastAsia" w:cs="仿宋_GB2312"/>
          <w:color w:val="auto"/>
          <w:sz w:val="32"/>
          <w:szCs w:val="32"/>
          <w:lang w:val="en-US" w:eastAsia="zh-CN"/>
        </w:rPr>
        <w:t>之间存在差距</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二是</w:t>
      </w:r>
      <w:r>
        <w:rPr>
          <w:rFonts w:hint="eastAsia" w:ascii="仿宋_GB2312" w:hAnsi="仿宋_GB2312" w:eastAsia="仿宋_GB2312" w:cs="仿宋_GB2312"/>
          <w:color w:val="auto"/>
          <w:sz w:val="32"/>
          <w:szCs w:val="32"/>
          <w:lang w:val="en-US" w:eastAsia="zh-CN"/>
        </w:rPr>
        <w:t>部分工作在项目预算细化时调</w:t>
      </w:r>
      <w:r>
        <w:rPr>
          <w:rFonts w:hint="eastAsia" w:cs="仿宋_GB2312"/>
          <w:color w:val="auto"/>
          <w:sz w:val="32"/>
          <w:szCs w:val="32"/>
          <w:lang w:val="en-US" w:eastAsia="zh-CN"/>
        </w:rPr>
        <w:t>整</w:t>
      </w:r>
      <w:r>
        <w:rPr>
          <w:rFonts w:hint="eastAsia" w:ascii="仿宋_GB2312" w:hAnsi="仿宋_GB2312" w:eastAsia="仿宋_GB2312" w:cs="仿宋_GB2312"/>
          <w:color w:val="auto"/>
          <w:sz w:val="32"/>
          <w:szCs w:val="32"/>
          <w:lang w:val="en-US" w:eastAsia="zh-CN"/>
        </w:rPr>
        <w:t>到公用经费或</w:t>
      </w:r>
      <w:r>
        <w:rPr>
          <w:rFonts w:hint="eastAsia" w:cs="仿宋_GB2312"/>
          <w:color w:val="auto"/>
          <w:sz w:val="32"/>
          <w:szCs w:val="32"/>
          <w:lang w:val="en-US" w:eastAsia="zh-CN"/>
        </w:rPr>
        <w:t>其他专项</w:t>
      </w:r>
      <w:r>
        <w:rPr>
          <w:rFonts w:hint="eastAsia" w:ascii="仿宋_GB2312" w:hAnsi="仿宋_GB2312" w:eastAsia="仿宋_GB2312" w:cs="仿宋_GB2312"/>
          <w:color w:val="auto"/>
          <w:sz w:val="32"/>
          <w:szCs w:val="32"/>
          <w:lang w:val="en-US" w:eastAsia="zh-CN"/>
        </w:rPr>
        <w:t>中列支。下一步，</w:t>
      </w:r>
      <w:r>
        <w:rPr>
          <w:rFonts w:hint="eastAsia" w:cs="仿宋_GB2312"/>
          <w:color w:val="auto"/>
          <w:sz w:val="32"/>
          <w:szCs w:val="32"/>
          <w:lang w:val="en-US" w:eastAsia="zh-CN"/>
        </w:rPr>
        <w:t>深化前期调研，合理设置绩效指标；规范经费列支渠道，确保项目核算清晰准确</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三</w:t>
      </w:r>
      <w:r>
        <w:rPr>
          <w:rFonts w:hint="eastAsia" w:ascii="仿宋_GB2312" w:hAnsi="仿宋_GB2312" w:eastAsia="仿宋_GB2312" w:cs="仿宋_GB2312"/>
          <w:b/>
          <w:bCs/>
          <w:color w:val="auto"/>
          <w:sz w:val="32"/>
          <w:szCs w:val="32"/>
        </w:rPr>
        <w:t>）项目</w:t>
      </w:r>
      <w:r>
        <w:rPr>
          <w:rFonts w:hint="eastAsia" w:ascii="仿宋_GB2312" w:hAnsi="仿宋_GB2312" w:eastAsia="仿宋_GB2312" w:cs="仿宋_GB2312"/>
          <w:b/>
          <w:bCs/>
          <w:color w:val="auto"/>
          <w:sz w:val="32"/>
          <w:szCs w:val="32"/>
          <w:lang w:val="en-US" w:eastAsia="zh-CN"/>
        </w:rPr>
        <w:t>3</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媒体新闻宣传经费（含甘肃省海外社交平台账号宣传专项经费）</w:t>
      </w:r>
      <w:bookmarkEnd w:id="70"/>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项目支出预算执行情况</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媒体新闻宣传经费项目年初预算数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840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，全年预算数为</w:t>
      </w:r>
      <w:r>
        <w:rPr>
          <w:rFonts w:hint="eastAsia" w:ascii="仿宋_GB2312" w:hAnsi="仿宋_GB2312" w:eastAsia="仿宋_GB2312" w:cs="仿宋_GB2312"/>
          <w:color w:val="auto"/>
          <w:sz w:val="32"/>
          <w:szCs w:val="32"/>
          <w:lang w:val="en-US" w:eastAsia="zh-CN"/>
        </w:rPr>
        <w:t>840万元</w:t>
      </w:r>
      <w:r>
        <w:rPr>
          <w:rFonts w:hint="eastAsia" w:ascii="仿宋_GB2312" w:hAnsi="仿宋_GB2312" w:eastAsia="仿宋_GB2312" w:cs="仿宋_GB2312"/>
          <w:color w:val="auto"/>
          <w:sz w:val="32"/>
          <w:szCs w:val="32"/>
        </w:rPr>
        <w:t>，全年支出数</w:t>
      </w:r>
      <w:r>
        <w:rPr>
          <w:rFonts w:hint="eastAsia" w:ascii="仿宋_GB2312" w:hAnsi="仿宋_GB2312" w:eastAsia="仿宋_GB2312" w:cs="仿宋_GB2312"/>
          <w:color w:val="auto"/>
          <w:sz w:val="32"/>
          <w:szCs w:val="32"/>
          <w:lang w:val="en-US" w:eastAsia="zh-CN"/>
        </w:rPr>
        <w:t>840</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总体绩效目标完成情况分析</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90.25</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1.通过甘肃省全国两会宣传报道工作，进一步加强中央、香港主要媒体和省属媒体的宣传报道力度，持续提升甘肃省知名度和美誉度。2.通过组织协调中央驻甘、香港驻甘和省属主要媒体开展涉甘重大主题宣传报道和系列主题报道活动，为甘肃经济社会发展营造良好的舆论氛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1.中央、香港主要媒体和省属媒体共刊发省“两会”相关稿件2100篇，点击量超5000万；2.2025年全年，中央、香港主要媒体，省属媒体和各市县级融媒体中心共刊发各相关稿件496万篇，点击量298亿次；其中中央媒体每天每周刊发涉甘稿件680余篇。</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16</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34.25</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85.63</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全年补助主要媒体</w:t>
      </w:r>
      <w:r>
        <w:rPr>
          <w:rFonts w:hint="eastAsia" w:ascii="仿宋_GB2312" w:hAnsi="仿宋_GB2312" w:eastAsia="仿宋_GB2312" w:cs="仿宋_GB2312"/>
          <w:color w:val="auto"/>
          <w:sz w:val="32"/>
          <w:szCs w:val="32"/>
          <w:lang w:val="en-US" w:eastAsia="zh-CN" w:bidi="ar"/>
        </w:rPr>
        <w:t>19</w:t>
      </w:r>
      <w:r>
        <w:rPr>
          <w:rFonts w:hint="eastAsia" w:ascii="仿宋_GB2312" w:hAnsi="仿宋_GB2312" w:eastAsia="仿宋_GB2312" w:cs="仿宋_GB2312"/>
          <w:color w:val="auto"/>
          <w:sz w:val="32"/>
          <w:szCs w:val="32"/>
          <w:lang w:bidi="ar"/>
        </w:rPr>
        <w:t>家，组织媒体开展宣传</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余次，海外社交平台</w:t>
      </w:r>
      <w:r>
        <w:rPr>
          <w:rFonts w:hint="eastAsia" w:ascii="仿宋_GB2312" w:hAnsi="仿宋_GB2312" w:eastAsia="仿宋_GB2312" w:cs="仿宋_GB2312"/>
          <w:color w:val="auto"/>
          <w:sz w:val="32"/>
          <w:szCs w:val="32"/>
          <w:lang w:eastAsia="zh-CN" w:bidi="ar"/>
        </w:rPr>
        <w:t>发布</w:t>
      </w:r>
      <w:r>
        <w:rPr>
          <w:rFonts w:hint="eastAsia" w:ascii="仿宋_GB2312" w:hAnsi="仿宋_GB2312" w:eastAsia="仿宋_GB2312" w:cs="仿宋_GB2312"/>
          <w:color w:val="auto"/>
          <w:sz w:val="32"/>
          <w:szCs w:val="32"/>
          <w:lang w:bidi="ar"/>
        </w:rPr>
        <w:t>视频</w:t>
      </w:r>
      <w:r>
        <w:rPr>
          <w:rFonts w:hint="eastAsia" w:ascii="仿宋_GB2312" w:hAnsi="仿宋_GB2312" w:eastAsia="仿宋_GB2312" w:cs="仿宋_GB2312"/>
          <w:color w:val="auto"/>
          <w:sz w:val="32"/>
          <w:szCs w:val="32"/>
          <w:lang w:val="en-US" w:eastAsia="zh-CN" w:bidi="ar"/>
        </w:rPr>
        <w:t>3510条</w:t>
      </w:r>
      <w:r>
        <w:rPr>
          <w:rFonts w:hint="eastAsia" w:ascii="仿宋_GB2312" w:hAnsi="仿宋_GB2312" w:eastAsia="仿宋_GB2312" w:cs="仿宋_GB2312"/>
          <w:color w:val="auto"/>
          <w:sz w:val="32"/>
          <w:szCs w:val="32"/>
          <w:lang w:eastAsia="zh-CN" w:bidi="ar"/>
        </w:rPr>
        <w:t>，海外社交平台英文直播</w:t>
      </w:r>
      <w:r>
        <w:rPr>
          <w:rFonts w:hint="eastAsia" w:ascii="仿宋_GB2312" w:hAnsi="仿宋_GB2312" w:eastAsia="仿宋_GB2312" w:cs="仿宋_GB2312"/>
          <w:color w:val="auto"/>
          <w:sz w:val="32"/>
          <w:szCs w:val="32"/>
          <w:lang w:val="en-US" w:eastAsia="zh-CN" w:bidi="ar"/>
        </w:rPr>
        <w:t>11次，</w:t>
      </w:r>
      <w:r>
        <w:rPr>
          <w:rFonts w:hint="eastAsia" w:ascii="仿宋_GB2312" w:hAnsi="仿宋_GB2312" w:eastAsia="仿宋_GB2312" w:cs="仿宋_GB2312"/>
          <w:color w:val="auto"/>
          <w:sz w:val="32"/>
          <w:szCs w:val="32"/>
          <w:lang w:bidi="ar"/>
        </w:rPr>
        <w:t>为我省经济社会发展营造良好舆论氛围。指标分值合计</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15</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75</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补助应补助媒体覆盖率高达100%，</w:t>
      </w:r>
      <w:r>
        <w:rPr>
          <w:rFonts w:hint="eastAsia" w:ascii="仿宋_GB2312" w:hAnsi="仿宋_GB2312" w:eastAsia="仿宋_GB2312" w:cs="仿宋_GB2312"/>
          <w:color w:val="auto"/>
          <w:sz w:val="32"/>
          <w:szCs w:val="32"/>
          <w:lang w:eastAsia="zh-CN"/>
        </w:rPr>
        <w:t>媒体宣传内容合格率</w:t>
      </w:r>
      <w:r>
        <w:rPr>
          <w:rFonts w:hint="eastAsia" w:cs="仿宋_GB2312"/>
          <w:color w:val="auto"/>
          <w:sz w:val="32"/>
          <w:szCs w:val="32"/>
          <w:lang w:eastAsia="zh-CN"/>
        </w:rPr>
        <w:t>、</w:t>
      </w:r>
      <w:r>
        <w:rPr>
          <w:rFonts w:hint="eastAsia" w:ascii="仿宋_GB2312" w:hAnsi="仿宋_GB2312" w:eastAsia="仿宋_GB2312" w:cs="仿宋_GB2312"/>
          <w:color w:val="auto"/>
          <w:sz w:val="32"/>
          <w:szCs w:val="32"/>
          <w:lang w:eastAsia="zh-CN"/>
        </w:rPr>
        <w:t>重大主题宣传合格率</w:t>
      </w:r>
      <w:r>
        <w:rPr>
          <w:rFonts w:hint="eastAsia" w:cs="仿宋_GB2312"/>
          <w:color w:val="auto"/>
          <w:sz w:val="32"/>
          <w:szCs w:val="32"/>
          <w:lang w:eastAsia="zh-CN"/>
        </w:rPr>
        <w:t>、</w:t>
      </w:r>
      <w:r>
        <w:rPr>
          <w:rFonts w:hint="eastAsia" w:ascii="仿宋_GB2312" w:hAnsi="仿宋_GB2312" w:eastAsia="仿宋_GB2312" w:cs="仿宋_GB2312"/>
          <w:color w:val="auto"/>
          <w:sz w:val="32"/>
          <w:szCs w:val="32"/>
          <w:lang w:eastAsia="zh-CN"/>
        </w:rPr>
        <w:t>重大主题宣传集中采访活动覆盖率</w:t>
      </w:r>
      <w:r>
        <w:rPr>
          <w:rFonts w:hint="eastAsia" w:cs="仿宋_GB2312"/>
          <w:color w:val="auto"/>
          <w:sz w:val="32"/>
          <w:szCs w:val="32"/>
          <w:lang w:val="en-US" w:eastAsia="zh-CN"/>
        </w:rPr>
        <w:t>均达</w:t>
      </w:r>
      <w:r>
        <w:rPr>
          <w:rFonts w:hint="eastAsia" w:ascii="仿宋_GB2312" w:hAnsi="仿宋_GB2312" w:eastAsia="仿宋_GB2312" w:cs="仿宋_GB2312"/>
          <w:color w:val="auto"/>
          <w:sz w:val="32"/>
          <w:szCs w:val="32"/>
        </w:rPr>
        <w:t>100%</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主要媒体的有效宣传推动了全省宣传思想</w:t>
      </w:r>
      <w:r>
        <w:rPr>
          <w:rFonts w:hint="eastAsia" w:cs="仿宋_GB2312"/>
          <w:color w:val="auto"/>
          <w:sz w:val="32"/>
          <w:szCs w:val="32"/>
          <w:lang w:val="en-US" w:eastAsia="zh-CN"/>
        </w:rPr>
        <w:t>文化</w:t>
      </w:r>
      <w:r>
        <w:rPr>
          <w:rFonts w:hint="eastAsia" w:ascii="仿宋_GB2312" w:hAnsi="仿宋_GB2312" w:eastAsia="仿宋_GB2312" w:cs="仿宋_GB2312"/>
          <w:color w:val="auto"/>
          <w:sz w:val="32"/>
          <w:szCs w:val="32"/>
        </w:rPr>
        <w:t>各项工作始终沿着正确政治方向前进；海外社交平台矩阵建设运营工作验收合格率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，切实保障了</w:t>
      </w:r>
      <w:r>
        <w:rPr>
          <w:rFonts w:hint="eastAsia" w:ascii="仿宋_GB2312" w:hAnsi="仿宋_GB2312" w:eastAsia="仿宋_GB2312" w:cs="仿宋_GB2312"/>
          <w:color w:val="auto"/>
          <w:sz w:val="32"/>
          <w:szCs w:val="32"/>
          <w:lang w:eastAsia="zh-CN"/>
        </w:rPr>
        <w:t>外宣</w:t>
      </w:r>
      <w:r>
        <w:rPr>
          <w:rFonts w:hint="eastAsia" w:ascii="仿宋_GB2312" w:hAnsi="仿宋_GB2312" w:eastAsia="仿宋_GB2312" w:cs="仿宋_GB2312"/>
          <w:color w:val="auto"/>
          <w:sz w:val="32"/>
          <w:szCs w:val="32"/>
        </w:rPr>
        <w:t>工作的顺利开展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质量指标均达到了预期目标值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12.5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12.5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lang w:val="en-US" w:eastAsia="zh-CN"/>
        </w:rPr>
        <w:t>全年按</w:t>
      </w:r>
      <w:r>
        <w:rPr>
          <w:rFonts w:hint="eastAsia" w:ascii="仿宋_GB2312" w:hAnsi="仿宋_GB2312" w:eastAsia="仿宋_GB2312" w:cs="仿宋_GB2312"/>
          <w:color w:val="auto"/>
          <w:sz w:val="32"/>
          <w:szCs w:val="32"/>
        </w:rPr>
        <w:t>计划完成了宣传活动采访、海外社交平台矩阵建设等工作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7.5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6.75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年我部通过组织新闻媒体对内宣传，在脸书（Facebook）、推特（Twitter）、照片墙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Instagram</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平台上发布内容对外宣传，为我省经济社会发展营造良好舆论氛围，扩大了我省对外影响力和美誉度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cs="仿宋_GB2312"/>
          <w:color w:val="auto"/>
          <w:sz w:val="32"/>
          <w:szCs w:val="32"/>
          <w:lang w:val="en-US" w:eastAsia="zh-CN" w:bidi="ar"/>
        </w:rPr>
        <w:t>，</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年我部优化专业团队沟通，进行内容建设和多渠道推广等运维工作，开展与多种媒体渠道的合作与推送工作。</w:t>
      </w:r>
      <w:r>
        <w:rPr>
          <w:rFonts w:hint="eastAsia" w:ascii="仿宋_GB2312" w:hAnsi="仿宋_GB2312" w:eastAsia="仿宋_GB2312" w:cs="仿宋_GB2312"/>
          <w:color w:val="auto"/>
          <w:sz w:val="32"/>
          <w:szCs w:val="32"/>
          <w:lang w:eastAsia="zh-CN"/>
        </w:rPr>
        <w:t>持续</w:t>
      </w:r>
      <w:r>
        <w:rPr>
          <w:rFonts w:hint="eastAsia" w:ascii="仿宋_GB2312" w:hAnsi="仿宋_GB2312" w:eastAsia="仿宋_GB2312" w:cs="仿宋_GB2312"/>
          <w:color w:val="auto"/>
          <w:sz w:val="32"/>
          <w:szCs w:val="32"/>
        </w:rPr>
        <w:t>加强对我省经济社会发展的宣传，为我省经济社会发展营造良好社会舆论氛围，扩大我省对外影响力和美誉度，得到了人民群众的一致好评。</w:t>
      </w:r>
      <w:r>
        <w:rPr>
          <w:rFonts w:hint="eastAsia" w:ascii="仿宋_GB2312" w:hAnsi="仿宋_GB2312" w:eastAsia="仿宋_GB2312" w:cs="仿宋_GB2312"/>
          <w:color w:val="auto"/>
          <w:sz w:val="32"/>
          <w:szCs w:val="32"/>
          <w:lang w:eastAsia="zh-CN"/>
        </w:rPr>
        <w:t>新闻媒体</w:t>
      </w:r>
      <w:r>
        <w:rPr>
          <w:rFonts w:hint="eastAsia" w:ascii="仿宋_GB2312" w:hAnsi="仿宋_GB2312" w:eastAsia="仿宋_GB2312" w:cs="仿宋_GB2312"/>
          <w:color w:val="auto"/>
          <w:sz w:val="32"/>
          <w:szCs w:val="32"/>
        </w:rPr>
        <w:t>满意度为</w:t>
      </w:r>
      <w:r>
        <w:rPr>
          <w:rFonts w:hint="eastAsia" w:ascii="仿宋_GB2312" w:hAnsi="仿宋_GB2312" w:eastAsia="仿宋_GB2312" w:cs="仿宋_GB2312"/>
          <w:color w:val="auto"/>
          <w:sz w:val="32"/>
          <w:szCs w:val="32"/>
          <w:lang w:val="en-US" w:eastAsia="zh-CN"/>
        </w:rPr>
        <w:t>85</w:t>
      </w:r>
      <w:r>
        <w:rPr>
          <w:rFonts w:hint="eastAsia" w:ascii="仿宋_GB2312" w:hAnsi="仿宋_GB2312" w:eastAsia="仿宋_GB2312" w:cs="仿宋_GB2312"/>
          <w:color w:val="auto"/>
          <w:sz w:val="32"/>
          <w:szCs w:val="32"/>
        </w:rPr>
        <w:t>%，达到了预期目标值。指标分值合计10分，按评分标准得10分，得分率100%。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cs="仿宋_GB2312"/>
          <w:color w:val="auto"/>
          <w:sz w:val="32"/>
          <w:szCs w:val="32"/>
          <w:lang w:val="en-US" w:eastAsia="zh-CN"/>
        </w:rPr>
        <w:t>各项支出控制在</w:t>
      </w:r>
      <w:r>
        <w:rPr>
          <w:rFonts w:hint="eastAsia" w:ascii="仿宋_GB2312" w:hAnsi="仿宋_GB2312" w:eastAsia="仿宋_GB2312" w:cs="仿宋_GB2312"/>
          <w:color w:val="auto"/>
          <w:sz w:val="32"/>
          <w:szCs w:val="32"/>
          <w:lang w:val="en-US" w:eastAsia="zh-CN"/>
        </w:rPr>
        <w:t>840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cs="仿宋_GB2312"/>
          <w:color w:val="auto"/>
          <w:sz w:val="32"/>
          <w:szCs w:val="32"/>
          <w:lang w:val="en-US" w:eastAsia="zh-CN"/>
        </w:rPr>
        <w:t>预算范围内</w:t>
      </w:r>
      <w:r>
        <w:rPr>
          <w:rFonts w:hint="eastAsia" w:ascii="仿宋_GB2312" w:hAnsi="仿宋_GB2312" w:eastAsia="仿宋_GB2312" w:cs="仿宋_GB2312"/>
          <w:color w:val="auto"/>
          <w:sz w:val="32"/>
          <w:szCs w:val="32"/>
        </w:rPr>
        <w:t>，</w:t>
      </w:r>
      <w:r>
        <w:rPr>
          <w:rFonts w:hint="eastAsia" w:cs="仿宋_GB2312"/>
          <w:color w:val="auto"/>
          <w:sz w:val="32"/>
          <w:szCs w:val="32"/>
          <w:lang w:val="en-US" w:eastAsia="zh-CN"/>
        </w:rPr>
        <w:t>资金使用合理规范</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bookmarkStart w:id="71" w:name="_Toc17099"/>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jc w:val="lef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ascii="仿宋_GB2312" w:hAnsi="仿宋_GB2312" w:eastAsia="仿宋_GB2312" w:cs="仿宋_GB2312"/>
          <w:color w:val="auto"/>
          <w:sz w:val="32"/>
          <w:szCs w:val="32"/>
          <w:lang w:val="en-US" w:eastAsia="zh-CN"/>
        </w:rPr>
        <w:t>主要原因是部分指标年初目标设置</w:t>
      </w:r>
      <w:r>
        <w:rPr>
          <w:rFonts w:hint="eastAsia" w:cs="仿宋_GB2312"/>
          <w:color w:val="auto"/>
          <w:sz w:val="32"/>
          <w:szCs w:val="32"/>
          <w:lang w:val="en-US" w:eastAsia="zh-CN"/>
        </w:rPr>
        <w:t>偏保守</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未预估到宣传工作的高效推进，</w:t>
      </w:r>
      <w:r>
        <w:rPr>
          <w:rFonts w:hint="eastAsia" w:ascii="仿宋_GB2312" w:hAnsi="仿宋_GB2312" w:eastAsia="仿宋_GB2312" w:cs="仿宋_GB2312"/>
          <w:color w:val="auto"/>
          <w:sz w:val="32"/>
          <w:szCs w:val="32"/>
          <w:lang w:val="en-US" w:eastAsia="zh-CN"/>
        </w:rPr>
        <w:t>如发稿数、海外社交平台发布视频、海外社交平台发布帖文等指标的实际完成情况远超预期目标。下一步，我部将加强项目前期</w:t>
      </w:r>
      <w:r>
        <w:rPr>
          <w:rFonts w:hint="eastAsia" w:cs="仿宋_GB2312"/>
          <w:color w:val="auto"/>
          <w:sz w:val="32"/>
          <w:szCs w:val="32"/>
          <w:lang w:val="en-US" w:eastAsia="zh-CN"/>
        </w:rPr>
        <w:t>论证</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精准测算工作体量，</w:t>
      </w:r>
      <w:r>
        <w:rPr>
          <w:rFonts w:hint="eastAsia" w:ascii="仿宋_GB2312" w:hAnsi="仿宋_GB2312" w:eastAsia="仿宋_GB2312" w:cs="仿宋_GB2312"/>
          <w:color w:val="auto"/>
          <w:sz w:val="32"/>
          <w:szCs w:val="32"/>
          <w:lang w:val="en-US" w:eastAsia="zh-CN"/>
        </w:rPr>
        <w:t>科学设定绩效目标，提升目标</w:t>
      </w:r>
      <w:r>
        <w:rPr>
          <w:rFonts w:hint="eastAsia" w:cs="仿宋_GB2312"/>
          <w:color w:val="auto"/>
          <w:sz w:val="32"/>
          <w:szCs w:val="32"/>
          <w:lang w:val="en-US" w:eastAsia="zh-CN"/>
        </w:rPr>
        <w:t>与实际工作的匹配度</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w w:val="90"/>
          <w:sz w:val="32"/>
          <w:szCs w:val="32"/>
        </w:rPr>
      </w:pPr>
      <w:r>
        <w:rPr>
          <w:rFonts w:hint="eastAsia" w:ascii="仿宋_GB2312" w:hAnsi="仿宋_GB2312" w:eastAsia="仿宋_GB2312" w:cs="仿宋_GB2312"/>
          <w:b/>
          <w:bCs/>
          <w:color w:val="auto"/>
          <w:w w:val="90"/>
          <w:sz w:val="32"/>
          <w:szCs w:val="32"/>
        </w:rPr>
        <w:t>（</w:t>
      </w:r>
      <w:r>
        <w:rPr>
          <w:rFonts w:hint="eastAsia" w:ascii="仿宋_GB2312" w:hAnsi="仿宋_GB2312" w:eastAsia="仿宋_GB2312" w:cs="仿宋_GB2312"/>
          <w:b/>
          <w:bCs/>
          <w:color w:val="auto"/>
          <w:w w:val="90"/>
          <w:sz w:val="32"/>
          <w:szCs w:val="32"/>
          <w:lang w:eastAsia="zh-CN"/>
        </w:rPr>
        <w:t>四</w:t>
      </w:r>
      <w:r>
        <w:rPr>
          <w:rFonts w:hint="eastAsia" w:ascii="仿宋_GB2312" w:hAnsi="仿宋_GB2312" w:eastAsia="仿宋_GB2312" w:cs="仿宋_GB2312"/>
          <w:b/>
          <w:bCs/>
          <w:color w:val="auto"/>
          <w:w w:val="90"/>
          <w:sz w:val="32"/>
          <w:szCs w:val="32"/>
        </w:rPr>
        <w:t>）项目</w:t>
      </w:r>
      <w:r>
        <w:rPr>
          <w:rFonts w:hint="eastAsia" w:ascii="仿宋_GB2312" w:hAnsi="仿宋_GB2312" w:eastAsia="仿宋_GB2312" w:cs="仿宋_GB2312"/>
          <w:b/>
          <w:bCs/>
          <w:color w:val="auto"/>
          <w:w w:val="90"/>
          <w:sz w:val="32"/>
          <w:szCs w:val="32"/>
          <w:lang w:val="en-US" w:eastAsia="zh-CN"/>
        </w:rPr>
        <w:t>4</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w w:val="90"/>
          <w:sz w:val="32"/>
          <w:szCs w:val="32"/>
        </w:rPr>
        <w:t>哲学社会科学规划研究培训和基地建设经费</w:t>
      </w:r>
      <w:bookmarkEnd w:id="71"/>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哲学社会科学规划研究培训和基地建设经费项目年初预算数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900万元，</w:t>
      </w:r>
      <w:r>
        <w:rPr>
          <w:rFonts w:hint="eastAsia" w:ascii="仿宋_GB2312" w:hAnsi="仿宋_GB2312" w:eastAsia="仿宋_GB2312" w:cs="仿宋_GB2312"/>
          <w:color w:val="auto"/>
          <w:sz w:val="32"/>
          <w:szCs w:val="32"/>
        </w:rPr>
        <w:t>全年预算数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283.6</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273.12</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96.3</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9.63</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96.3</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90.73</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完成5项以上重点项目、130项以上一般项目、40项以上青年项目的立项工作，完成100项以上鉴定结项报告，举办哲学社会科学骨干研修班，建设省级重点智库，为省委省政府和有关部门决策提供参考和服务，为我省经济社会发展提供强有力的智力支撑，不断推动我省哲学社会科学繁荣发展。</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实际完成情况：</w:t>
      </w:r>
      <w:r>
        <w:rPr>
          <w:rFonts w:hint="eastAsia" w:ascii="仿宋_GB2312" w:hAnsi="仿宋_GB2312" w:eastAsia="仿宋_GB2312" w:cs="仿宋_GB2312"/>
          <w:color w:val="auto"/>
          <w:sz w:val="32"/>
          <w:szCs w:val="32"/>
        </w:rPr>
        <w:t>重点项目11项、一般项目145项、青年项目61项、后期资助项目4项，完成210项鉴定结项报告，举办哲学社会科学骨干研修班1期180人，建设省级重点智库，为省委省政府和有关部门决策提供参考和服务，为我省经济社会发展提供强有力的智力支撑，不断推动我省哲学社会科学繁荣发展。</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14</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35.1</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87.75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全年组织开展省哲学社会科学骨干研修班</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期，完成省哲学社会科学</w:t>
      </w:r>
      <w:r>
        <w:rPr>
          <w:rFonts w:hint="eastAsia" w:ascii="仿宋_GB2312" w:hAnsi="仿宋_GB2312" w:eastAsia="仿宋_GB2312" w:cs="仿宋_GB2312"/>
          <w:color w:val="auto"/>
          <w:sz w:val="32"/>
          <w:szCs w:val="32"/>
          <w:lang w:val="en-US" w:eastAsia="zh-CN" w:bidi="ar"/>
        </w:rPr>
        <w:t>一般</w:t>
      </w:r>
      <w:r>
        <w:rPr>
          <w:rFonts w:hint="eastAsia" w:ascii="仿宋_GB2312" w:hAnsi="仿宋_GB2312" w:eastAsia="仿宋_GB2312" w:cs="仿宋_GB2312"/>
          <w:color w:val="auto"/>
          <w:sz w:val="32"/>
          <w:szCs w:val="32"/>
          <w:lang w:bidi="ar"/>
        </w:rPr>
        <w:t>项目</w:t>
      </w:r>
      <w:r>
        <w:rPr>
          <w:rFonts w:hint="eastAsia" w:ascii="仿宋_GB2312" w:hAnsi="仿宋_GB2312" w:eastAsia="仿宋_GB2312" w:cs="仿宋_GB2312"/>
          <w:color w:val="auto"/>
          <w:sz w:val="32"/>
          <w:szCs w:val="32"/>
          <w:lang w:val="en-US" w:eastAsia="zh-CN" w:bidi="ar"/>
        </w:rPr>
        <w:t>立项145</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、青年项目立项数</w:t>
      </w:r>
      <w:r>
        <w:rPr>
          <w:rFonts w:hint="eastAsia" w:ascii="仿宋_GB2312" w:hAnsi="仿宋_GB2312" w:eastAsia="仿宋_GB2312" w:cs="仿宋_GB2312"/>
          <w:color w:val="auto"/>
          <w:sz w:val="32"/>
          <w:szCs w:val="32"/>
          <w:lang w:val="en-US" w:eastAsia="zh-CN" w:bidi="ar"/>
        </w:rPr>
        <w:t>45个、重点项目立项数11</w:t>
      </w:r>
      <w:r>
        <w:rPr>
          <w:rFonts w:hint="eastAsia" w:cs="仿宋_GB2312"/>
          <w:color w:val="auto"/>
          <w:sz w:val="32"/>
          <w:szCs w:val="32"/>
          <w:lang w:val="en-US" w:eastAsia="zh-CN" w:bidi="ar"/>
        </w:rPr>
        <w:t>个</w:t>
      </w:r>
      <w:r>
        <w:rPr>
          <w:rFonts w:hint="eastAsia" w:ascii="仿宋_GB2312" w:hAnsi="仿宋_GB2312" w:eastAsia="仿宋_GB2312" w:cs="仿宋_GB2312"/>
          <w:color w:val="auto"/>
          <w:sz w:val="32"/>
          <w:szCs w:val="32"/>
          <w:lang w:bidi="ar"/>
        </w:rPr>
        <w:t>，</w:t>
      </w:r>
      <w:r>
        <w:rPr>
          <w:rFonts w:hint="eastAsia" w:ascii="仿宋_GB2312" w:hAnsi="仿宋_GB2312" w:eastAsia="仿宋_GB2312" w:cs="仿宋_GB2312"/>
          <w:color w:val="auto"/>
          <w:sz w:val="32"/>
          <w:szCs w:val="32"/>
          <w:lang w:eastAsia="zh-CN" w:bidi="ar"/>
        </w:rPr>
        <w:t>组织</w:t>
      </w:r>
      <w:r>
        <w:rPr>
          <w:rFonts w:hint="eastAsia" w:ascii="仿宋_GB2312" w:hAnsi="仿宋_GB2312" w:eastAsia="仿宋_GB2312" w:cs="仿宋_GB2312"/>
          <w:color w:val="auto"/>
          <w:sz w:val="32"/>
          <w:szCs w:val="32"/>
          <w:lang w:bidi="ar"/>
        </w:rPr>
        <w:t>项目评审专家完成了相关评审工作，完成智库建设</w:t>
      </w:r>
      <w:r>
        <w:rPr>
          <w:rFonts w:hint="eastAsia" w:ascii="仿宋_GB2312" w:hAnsi="仿宋_GB2312" w:eastAsia="仿宋_GB2312" w:cs="仿宋_GB2312"/>
          <w:color w:val="auto"/>
          <w:sz w:val="32"/>
          <w:szCs w:val="32"/>
          <w:lang w:val="en-US" w:eastAsia="zh-CN" w:bidi="ar"/>
        </w:rPr>
        <w:t>6</w:t>
      </w:r>
      <w:r>
        <w:rPr>
          <w:rFonts w:hint="eastAsia" w:ascii="仿宋_GB2312" w:hAnsi="仿宋_GB2312" w:eastAsia="仿宋_GB2312" w:cs="仿宋_GB2312"/>
          <w:color w:val="auto"/>
          <w:sz w:val="32"/>
          <w:szCs w:val="32"/>
          <w:lang w:bidi="ar"/>
        </w:rPr>
        <w:t>个。指标分值合计</w:t>
      </w:r>
      <w:r>
        <w:rPr>
          <w:rFonts w:hint="eastAsia" w:ascii="仿宋_GB2312" w:hAnsi="仿宋_GB2312" w:eastAsia="仿宋_GB2312" w:cs="仿宋_GB2312"/>
          <w:color w:val="auto"/>
          <w:sz w:val="32"/>
          <w:szCs w:val="32"/>
          <w:lang w:val="en-US" w:eastAsia="zh-CN" w:bidi="ar"/>
        </w:rPr>
        <w:t>19.5</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17.1</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87.69</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项目评审通过率</w:t>
      </w:r>
      <w:r>
        <w:rPr>
          <w:rFonts w:hint="eastAsia" w:ascii="仿宋_GB2312" w:hAnsi="仿宋_GB2312" w:eastAsia="仿宋_GB2312" w:cs="仿宋_GB2312"/>
          <w:color w:val="auto"/>
          <w:sz w:val="32"/>
          <w:szCs w:val="32"/>
          <w:lang w:val="en-US" w:eastAsia="zh-CN"/>
        </w:rPr>
        <w:t>29.64%，</w:t>
      </w:r>
      <w:r>
        <w:rPr>
          <w:rFonts w:hint="eastAsia" w:ascii="仿宋_GB2312" w:hAnsi="仿宋_GB2312" w:eastAsia="仿宋_GB2312" w:cs="仿宋_GB2312"/>
          <w:color w:val="auto"/>
          <w:sz w:val="32"/>
          <w:szCs w:val="32"/>
        </w:rPr>
        <w:t>智库建设资助程序规范性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重大研究基地建设资助程序规范性均</w:t>
      </w:r>
      <w:r>
        <w:rPr>
          <w:rFonts w:hint="eastAsia" w:cs="仿宋_GB2312"/>
          <w:color w:val="auto"/>
          <w:sz w:val="32"/>
          <w:szCs w:val="32"/>
          <w:lang w:val="en-US" w:eastAsia="zh-CN"/>
        </w:rPr>
        <w:t>达</w:t>
      </w:r>
      <w:r>
        <w:rPr>
          <w:rFonts w:hint="eastAsia" w:ascii="仿宋_GB2312" w:hAnsi="仿宋_GB2312" w:eastAsia="仿宋_GB2312" w:cs="仿宋_GB2312"/>
          <w:color w:val="auto"/>
          <w:sz w:val="32"/>
          <w:szCs w:val="32"/>
        </w:rPr>
        <w:t>100%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质量指标均达到了预期目标值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8.5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7.2</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84.70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cs="仿宋_GB2312"/>
          <w:color w:val="auto"/>
          <w:sz w:val="32"/>
          <w:szCs w:val="32"/>
          <w:lang w:val="en-US" w:eastAsia="zh-CN"/>
        </w:rPr>
        <w:t>资金发放、项目评审、结项鉴定等工作均按时完成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10.8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年我部以重大研究基地为平台，积极开展重大理论和现实问题研究，不断加强我省现代智库建设，逐步促进学科体系、学术观点、科研方法创新，推动全省哲学社会科学研究与发展，结项报告转化利用率</w:t>
      </w:r>
      <w:r>
        <w:rPr>
          <w:rFonts w:hint="eastAsia" w:ascii="仿宋_GB2312" w:hAnsi="仿宋_GB2312" w:eastAsia="仿宋_GB2312" w:cs="仿宋_GB2312"/>
          <w:color w:val="auto"/>
          <w:sz w:val="32"/>
          <w:szCs w:val="32"/>
          <w:lang w:eastAsia="zh-CN"/>
        </w:rPr>
        <w:t>不断提高，</w:t>
      </w:r>
      <w:r>
        <w:rPr>
          <w:rFonts w:hint="eastAsia" w:ascii="仿宋_GB2312" w:hAnsi="仿宋_GB2312" w:eastAsia="仿宋_GB2312" w:cs="仿宋_GB2312"/>
          <w:color w:val="auto"/>
          <w:sz w:val="32"/>
          <w:szCs w:val="32"/>
        </w:rPr>
        <w:t>促进了社会服务决策的提升，全省社科理论研究水平、省社科研究的社会影响力得到进一步提升。指标分值合计</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2个三级指标，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年我部组织全省社科理论界专家学者围绕重大主题开展理论研究，形成高质量决策咨询报告，并呈送省委常委、省政府副省长及省直有关部门领导同志参阅。</w:t>
      </w:r>
      <w:r>
        <w:rPr>
          <w:rFonts w:hint="eastAsia" w:ascii="仿宋_GB2312" w:hAnsi="仿宋_GB2312" w:eastAsia="仿宋_GB2312" w:cs="仿宋_GB2312"/>
          <w:color w:val="auto"/>
          <w:sz w:val="32"/>
          <w:szCs w:val="32"/>
          <w:lang w:eastAsia="zh-CN"/>
        </w:rPr>
        <w:t>同时，组织</w:t>
      </w:r>
      <w:r>
        <w:rPr>
          <w:rFonts w:hint="eastAsia" w:ascii="仿宋_GB2312" w:hAnsi="仿宋_GB2312" w:eastAsia="仿宋_GB2312" w:cs="仿宋_GB2312"/>
          <w:color w:val="auto"/>
          <w:sz w:val="32"/>
          <w:szCs w:val="32"/>
          <w:lang w:val="en-US" w:eastAsia="zh-CN"/>
        </w:rPr>
        <w:t>1期</w:t>
      </w:r>
      <w:r>
        <w:rPr>
          <w:rFonts w:hint="eastAsia" w:ascii="仿宋_GB2312" w:hAnsi="仿宋_GB2312" w:eastAsia="仿宋_GB2312" w:cs="仿宋_GB2312"/>
          <w:color w:val="auto"/>
          <w:sz w:val="32"/>
          <w:szCs w:val="32"/>
        </w:rPr>
        <w:t>省哲学社会科学骨干研修班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社科理论界满意度</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研修班学员满意度</w:t>
      </w:r>
      <w:r>
        <w:rPr>
          <w:rFonts w:hint="eastAsia" w:ascii="仿宋_GB2312" w:hAnsi="仿宋_GB2312" w:eastAsia="仿宋_GB2312" w:cs="仿宋_GB2312"/>
          <w:color w:val="auto"/>
          <w:sz w:val="32"/>
          <w:szCs w:val="32"/>
          <w:lang w:eastAsia="zh-CN"/>
        </w:rPr>
        <w:t>均</w:t>
      </w:r>
      <w:r>
        <w:rPr>
          <w:rFonts w:hint="eastAsia" w:cs="仿宋_GB2312"/>
          <w:color w:val="auto"/>
          <w:sz w:val="32"/>
          <w:szCs w:val="32"/>
          <w:lang w:val="en-US" w:eastAsia="zh-CN"/>
        </w:rPr>
        <w:t>达</w:t>
      </w:r>
      <w:r>
        <w:rPr>
          <w:rFonts w:hint="eastAsia" w:ascii="仿宋_GB2312" w:hAnsi="仿宋_GB2312" w:eastAsia="仿宋_GB2312" w:cs="仿宋_GB2312"/>
          <w:color w:val="auto"/>
          <w:sz w:val="32"/>
          <w:szCs w:val="32"/>
          <w:lang w:val="en-US" w:eastAsia="zh-CN"/>
        </w:rPr>
        <w:t>85</w:t>
      </w:r>
      <w:r>
        <w:rPr>
          <w:rFonts w:hint="eastAsia" w:ascii="仿宋_GB2312" w:hAnsi="仿宋_GB2312" w:eastAsia="仿宋_GB2312" w:cs="仿宋_GB2312"/>
          <w:color w:val="auto"/>
          <w:sz w:val="32"/>
          <w:szCs w:val="32"/>
        </w:rPr>
        <w:t>%，达到了预期目标值。指标分值合计10分，按评分标准得10分，得分率100%。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cs="仿宋_GB2312"/>
          <w:color w:val="auto"/>
          <w:sz w:val="32"/>
          <w:szCs w:val="32"/>
          <w:lang w:val="en-US" w:eastAsia="zh-CN"/>
        </w:rPr>
        <w:t>各项支出控制在900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cs="仿宋_GB2312"/>
          <w:color w:val="auto"/>
          <w:sz w:val="32"/>
          <w:szCs w:val="32"/>
          <w:lang w:val="en-US" w:eastAsia="zh-CN"/>
        </w:rPr>
        <w:t>预算范围内</w:t>
      </w:r>
      <w:r>
        <w:rPr>
          <w:rFonts w:hint="eastAsia" w:ascii="仿宋_GB2312" w:hAnsi="仿宋_GB2312" w:eastAsia="仿宋_GB2312" w:cs="仿宋_GB2312"/>
          <w:color w:val="auto"/>
          <w:sz w:val="32"/>
          <w:szCs w:val="32"/>
        </w:rPr>
        <w:t>，</w:t>
      </w:r>
      <w:r>
        <w:rPr>
          <w:rFonts w:hint="eastAsia" w:cs="仿宋_GB2312"/>
          <w:color w:val="auto"/>
          <w:sz w:val="32"/>
          <w:szCs w:val="32"/>
          <w:lang w:val="en-US" w:eastAsia="zh-CN"/>
        </w:rPr>
        <w:t>成本管控到位</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0%。</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lang w:val="en-US" w:eastAsia="zh-CN"/>
        </w:rPr>
      </w:pPr>
      <w:bookmarkStart w:id="72" w:name="_Toc4545"/>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ascii="仿宋_GB2312" w:hAnsi="仿宋_GB2312" w:eastAsia="仿宋_GB2312" w:cs="仿宋_GB2312"/>
          <w:color w:val="auto"/>
          <w:sz w:val="32"/>
          <w:szCs w:val="32"/>
          <w:lang w:val="en-US" w:eastAsia="zh-CN"/>
        </w:rPr>
        <w:t>主要原因是部分指标年初目标</w:t>
      </w:r>
      <w:r>
        <w:rPr>
          <w:rFonts w:hint="eastAsia" w:cs="仿宋_GB2312"/>
          <w:color w:val="auto"/>
          <w:sz w:val="32"/>
          <w:szCs w:val="32"/>
          <w:lang w:val="en-US" w:eastAsia="zh-CN"/>
        </w:rPr>
        <w:t>设定偏低</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未充分预估社科项目申报与研究的积极性，</w:t>
      </w:r>
      <w:r>
        <w:rPr>
          <w:rFonts w:hint="eastAsia" w:ascii="仿宋_GB2312" w:hAnsi="仿宋_GB2312" w:eastAsia="仿宋_GB2312" w:cs="仿宋_GB2312"/>
          <w:color w:val="auto"/>
          <w:sz w:val="32"/>
          <w:szCs w:val="32"/>
          <w:lang w:val="en-US" w:eastAsia="zh-CN"/>
        </w:rPr>
        <w:t>如鉴定结项报告数、青年项目立项数、研修班学员论文提交篇数、一般项目立项数等指标的实际完成情况远超预期目标。下一步，</w:t>
      </w:r>
      <w:r>
        <w:rPr>
          <w:rFonts w:hint="eastAsia" w:cs="仿宋_GB2312"/>
          <w:color w:val="auto"/>
          <w:sz w:val="32"/>
          <w:szCs w:val="32"/>
          <w:lang w:val="en-US" w:eastAsia="zh-CN"/>
        </w:rPr>
        <w:t>将</w:t>
      </w:r>
      <w:r>
        <w:rPr>
          <w:rFonts w:hint="eastAsia" w:ascii="仿宋_GB2312" w:hAnsi="仿宋_GB2312" w:eastAsia="仿宋_GB2312" w:cs="仿宋_GB2312"/>
          <w:color w:val="auto"/>
          <w:sz w:val="32"/>
          <w:szCs w:val="32"/>
          <w:lang w:val="en-US" w:eastAsia="zh-CN"/>
        </w:rPr>
        <w:t>加强项目前期</w:t>
      </w:r>
      <w:r>
        <w:rPr>
          <w:rFonts w:hint="eastAsia" w:cs="仿宋_GB2312"/>
          <w:color w:val="auto"/>
          <w:sz w:val="32"/>
          <w:szCs w:val="32"/>
          <w:lang w:val="en-US" w:eastAsia="zh-CN"/>
        </w:rPr>
        <w:t>论证与数据研判</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合理确定</w:t>
      </w:r>
      <w:r>
        <w:rPr>
          <w:rFonts w:hint="eastAsia" w:ascii="仿宋_GB2312" w:hAnsi="仿宋_GB2312" w:eastAsia="仿宋_GB2312" w:cs="仿宋_GB2312"/>
          <w:color w:val="auto"/>
          <w:sz w:val="32"/>
          <w:szCs w:val="32"/>
          <w:lang w:val="en-US" w:eastAsia="zh-CN"/>
        </w:rPr>
        <w:t>绩效目标，提升目标</w:t>
      </w:r>
      <w:r>
        <w:rPr>
          <w:rFonts w:hint="eastAsia" w:cs="仿宋_GB2312"/>
          <w:color w:val="auto"/>
          <w:sz w:val="32"/>
          <w:szCs w:val="32"/>
          <w:lang w:val="en-US" w:eastAsia="zh-CN"/>
        </w:rPr>
        <w:t>的科学性与指导</w:t>
      </w:r>
      <w:r>
        <w:rPr>
          <w:rFonts w:hint="eastAsia" w:ascii="仿宋_GB2312" w:hAnsi="仿宋_GB2312" w:eastAsia="仿宋_GB2312" w:cs="仿宋_GB2312"/>
          <w:color w:val="auto"/>
          <w:sz w:val="32"/>
          <w:szCs w:val="32"/>
          <w:lang w:val="en-US" w:eastAsia="zh-CN"/>
        </w:rPr>
        <w:t>性。</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省“扫黄打非”专项</w:t>
      </w:r>
      <w:bookmarkEnd w:id="72"/>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省“扫黄打非”专项年初预算数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162.09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全年预算数为</w:t>
      </w:r>
      <w:r>
        <w:rPr>
          <w:rFonts w:hint="eastAsia" w:ascii="仿宋_GB2312" w:hAnsi="仿宋_GB2312" w:eastAsia="仿宋_GB2312" w:cs="仿宋_GB2312"/>
          <w:color w:val="auto"/>
          <w:sz w:val="32"/>
          <w:szCs w:val="32"/>
          <w:lang w:val="en-US" w:eastAsia="zh-CN"/>
        </w:rPr>
        <w:t>132.09万元，</w:t>
      </w:r>
      <w:r>
        <w:rPr>
          <w:rFonts w:hint="eastAsia" w:ascii="仿宋_GB2312" w:hAnsi="仿宋_GB2312" w:eastAsia="仿宋_GB2312" w:cs="仿宋_GB2312"/>
          <w:color w:val="auto"/>
          <w:sz w:val="32"/>
          <w:szCs w:val="32"/>
        </w:rPr>
        <w:t>全年支出数</w:t>
      </w:r>
      <w:r>
        <w:rPr>
          <w:rFonts w:hint="eastAsia" w:ascii="仿宋_GB2312" w:hAnsi="仿宋_GB2312" w:eastAsia="仿宋_GB2312" w:cs="仿宋_GB2312"/>
          <w:color w:val="auto"/>
          <w:sz w:val="32"/>
          <w:szCs w:val="32"/>
          <w:lang w:val="en-US" w:eastAsia="zh-CN"/>
        </w:rPr>
        <w:t>132.09</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91.1</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1.积极做好年度工作部署。预计召开“扫黄打非”电视电话会议2次以上，开展“扫黄打非”进基层活动1次以上，全面落实“扫黄打非”集中行动、专项行动。2.强化综合治理能力。计划举办“扫黄打非”专题业务培训2场次以上，提升各市州、各成员单位落实“扫黄打非”工作业务能力，有效保障重点工作顺利开展。3.全面完成重点任务。组织开展文化市场及网络环境明察暗访4次以上，严厉打击非法出版物及有害信息，督办涉黄涉非重大案件，查处违法犯罪行为。加强社会宣传。组织开展“扫黄打非”媒体宣传活动4次、打击侵权盗版及“绿书签”系列宣传活动2次以上，进一步提升社会参与率。4.提升“扫黄打非”信息化水平。强化全省“扫黄打非”网络监测力度，做好“扫黄打非”举报平台和微信公众号运维工作，为打击网络传播有害出版物及信息提供技术支撑，确保意识形态安全和文化安全。</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1.全年组织召开“扫黄打非”电视电话会议2次，开展“扫黄打非”进基层活动1次，全面落实“扫黄打非”集中行动、专项行动。2.强化综合治理能力。举办“扫黄打非”专题业务培训2场次，</w:t>
      </w:r>
      <w:r>
        <w:rPr>
          <w:rFonts w:hint="eastAsia" w:cs="仿宋_GB2312"/>
          <w:color w:val="auto"/>
          <w:sz w:val="32"/>
          <w:szCs w:val="32"/>
          <w:lang w:val="en-US" w:eastAsia="zh-CN"/>
        </w:rPr>
        <w:t>有力</w:t>
      </w:r>
      <w:r>
        <w:rPr>
          <w:rFonts w:hint="eastAsia" w:ascii="仿宋_GB2312" w:hAnsi="仿宋_GB2312" w:eastAsia="仿宋_GB2312" w:cs="仿宋_GB2312"/>
          <w:color w:val="auto"/>
          <w:sz w:val="32"/>
          <w:szCs w:val="32"/>
        </w:rPr>
        <w:t>提升</w:t>
      </w:r>
      <w:r>
        <w:rPr>
          <w:rFonts w:hint="eastAsia" w:cs="仿宋_GB2312"/>
          <w:color w:val="auto"/>
          <w:sz w:val="32"/>
          <w:szCs w:val="32"/>
          <w:lang w:val="en-US" w:eastAsia="zh-CN"/>
        </w:rPr>
        <w:t>了</w:t>
      </w:r>
      <w:r>
        <w:rPr>
          <w:rFonts w:hint="eastAsia" w:ascii="仿宋_GB2312" w:hAnsi="仿宋_GB2312" w:eastAsia="仿宋_GB2312" w:cs="仿宋_GB2312"/>
          <w:color w:val="auto"/>
          <w:sz w:val="32"/>
          <w:szCs w:val="32"/>
        </w:rPr>
        <w:t>各市州、各成员单位落实“扫黄打非”工作</w:t>
      </w:r>
      <w:r>
        <w:rPr>
          <w:rFonts w:hint="eastAsia" w:cs="仿宋_GB2312"/>
          <w:color w:val="auto"/>
          <w:sz w:val="32"/>
          <w:szCs w:val="32"/>
          <w:lang w:val="en-US" w:eastAsia="zh-CN"/>
        </w:rPr>
        <w:t>的</w:t>
      </w:r>
      <w:r>
        <w:rPr>
          <w:rFonts w:hint="eastAsia" w:ascii="仿宋_GB2312" w:hAnsi="仿宋_GB2312" w:eastAsia="仿宋_GB2312" w:cs="仿宋_GB2312"/>
          <w:color w:val="auto"/>
          <w:sz w:val="32"/>
          <w:szCs w:val="32"/>
        </w:rPr>
        <w:t>业务能力，有效保障</w:t>
      </w:r>
      <w:r>
        <w:rPr>
          <w:rFonts w:hint="eastAsia" w:cs="仿宋_GB2312"/>
          <w:color w:val="auto"/>
          <w:sz w:val="32"/>
          <w:szCs w:val="32"/>
          <w:lang w:val="en-US" w:eastAsia="zh-CN"/>
        </w:rPr>
        <w:t>了</w:t>
      </w:r>
      <w:r>
        <w:rPr>
          <w:rFonts w:hint="eastAsia" w:ascii="仿宋_GB2312" w:hAnsi="仿宋_GB2312" w:eastAsia="仿宋_GB2312" w:cs="仿宋_GB2312"/>
          <w:color w:val="auto"/>
          <w:sz w:val="32"/>
          <w:szCs w:val="32"/>
        </w:rPr>
        <w:t>重点工作顺利开展。3.全面完成重点任务。组织开展文化市场及网络环境明察暗访4次，严厉打击非法出版物及有害信息，督办涉黄涉非重大案件，查处违法犯罪行为。加强社会宣传。组织开展“扫黄打非”媒体宣传活动4次、打击侵权盗版及“绿书签”系列宣传活动2次，进一步提升社会参与率。4.提升“扫黄打非”信息化水平。强化全省“扫黄打非”网络监测力度，做好“扫黄打非”举报平台和微信公众号运维工作，为打击网络传播有害出版物及信息提供技术支撑，确保意识形态安全和文化安全。</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34.1</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85.25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组织“扫黄打非”媒体宣传</w:t>
      </w:r>
      <w:r>
        <w:rPr>
          <w:rFonts w:hint="eastAsia" w:ascii="仿宋_GB2312" w:hAnsi="仿宋_GB2312" w:eastAsia="仿宋_GB2312" w:cs="仿宋_GB2312"/>
          <w:color w:val="auto"/>
          <w:sz w:val="32"/>
          <w:szCs w:val="32"/>
          <w:lang w:val="en-US" w:eastAsia="zh-CN" w:bidi="ar"/>
        </w:rPr>
        <w:t>48次</w:t>
      </w:r>
      <w:r>
        <w:rPr>
          <w:rFonts w:hint="eastAsia" w:cs="仿宋_GB2312"/>
          <w:color w:val="auto"/>
          <w:sz w:val="32"/>
          <w:szCs w:val="32"/>
          <w:lang w:eastAsia="zh-CN" w:bidi="ar"/>
        </w:rPr>
        <w:t>、</w:t>
      </w:r>
      <w:r>
        <w:rPr>
          <w:rFonts w:hint="eastAsia" w:ascii="仿宋_GB2312" w:hAnsi="仿宋_GB2312" w:eastAsia="仿宋_GB2312" w:cs="仿宋_GB2312"/>
          <w:color w:val="auto"/>
          <w:sz w:val="32"/>
          <w:szCs w:val="32"/>
          <w:lang w:bidi="ar"/>
        </w:rPr>
        <w:t>非法出版物鉴定种类</w:t>
      </w:r>
      <w:r>
        <w:rPr>
          <w:rFonts w:hint="eastAsia" w:ascii="仿宋_GB2312" w:hAnsi="仿宋_GB2312" w:eastAsia="仿宋_GB2312" w:cs="仿宋_GB2312"/>
          <w:color w:val="auto"/>
          <w:sz w:val="32"/>
          <w:szCs w:val="32"/>
          <w:lang w:val="en-US" w:eastAsia="zh-CN" w:bidi="ar"/>
        </w:rPr>
        <w:t>1300种</w:t>
      </w:r>
      <w:r>
        <w:rPr>
          <w:rFonts w:hint="eastAsia" w:cs="仿宋_GB2312"/>
          <w:color w:val="auto"/>
          <w:sz w:val="32"/>
          <w:szCs w:val="32"/>
          <w:lang w:val="en-US" w:eastAsia="zh-CN" w:bidi="ar"/>
        </w:rPr>
        <w:t>、</w:t>
      </w:r>
      <w:r>
        <w:rPr>
          <w:rFonts w:hint="eastAsia" w:ascii="仿宋_GB2312" w:hAnsi="仿宋_GB2312" w:eastAsia="仿宋_GB2312" w:cs="仿宋_GB2312"/>
          <w:color w:val="auto"/>
          <w:sz w:val="32"/>
          <w:szCs w:val="32"/>
          <w:lang w:val="en-US" w:eastAsia="zh-CN" w:bidi="ar"/>
        </w:rPr>
        <w:t>开展出版物暗访检查次数4次</w:t>
      </w:r>
      <w:r>
        <w:rPr>
          <w:rFonts w:hint="eastAsia" w:cs="仿宋_GB2312"/>
          <w:color w:val="auto"/>
          <w:sz w:val="32"/>
          <w:szCs w:val="32"/>
          <w:lang w:val="en-US" w:eastAsia="zh-CN" w:bidi="ar"/>
        </w:rPr>
        <w:t>、</w:t>
      </w:r>
      <w:r>
        <w:rPr>
          <w:rFonts w:hint="eastAsia" w:ascii="仿宋_GB2312" w:hAnsi="仿宋_GB2312" w:eastAsia="仿宋_GB2312" w:cs="仿宋_GB2312"/>
          <w:color w:val="auto"/>
          <w:sz w:val="32"/>
          <w:szCs w:val="32"/>
          <w:lang w:val="en-US" w:eastAsia="zh-CN" w:bidi="ar"/>
        </w:rPr>
        <w:t>开展打击侵权盗版“绿书签”系列宣传活动次数2次</w:t>
      </w:r>
      <w:r>
        <w:rPr>
          <w:rFonts w:hint="eastAsia" w:cs="仿宋_GB2312"/>
          <w:color w:val="auto"/>
          <w:sz w:val="32"/>
          <w:szCs w:val="32"/>
          <w:lang w:val="en-US" w:eastAsia="zh-CN" w:bidi="ar"/>
        </w:rPr>
        <w:t>、全省</w:t>
      </w:r>
      <w:r>
        <w:rPr>
          <w:rFonts w:hint="eastAsia" w:ascii="仿宋_GB2312" w:hAnsi="仿宋_GB2312" w:eastAsia="仿宋_GB2312" w:cs="仿宋_GB2312"/>
          <w:color w:val="auto"/>
          <w:sz w:val="32"/>
          <w:szCs w:val="32"/>
          <w:lang w:val="en-US" w:eastAsia="zh-CN" w:bidi="ar"/>
        </w:rPr>
        <w:t>“扫黄打非”调研次数1次</w:t>
      </w:r>
      <w:r>
        <w:rPr>
          <w:rFonts w:hint="eastAsia" w:cs="仿宋_GB2312"/>
          <w:color w:val="auto"/>
          <w:sz w:val="32"/>
          <w:szCs w:val="32"/>
          <w:lang w:val="en-US" w:eastAsia="zh-CN" w:bidi="ar"/>
        </w:rPr>
        <w:t>、</w:t>
      </w:r>
      <w:r>
        <w:rPr>
          <w:rFonts w:hint="eastAsia" w:ascii="仿宋_GB2312" w:hAnsi="仿宋_GB2312" w:eastAsia="仿宋_GB2312" w:cs="仿宋_GB2312"/>
          <w:color w:val="auto"/>
          <w:sz w:val="32"/>
          <w:szCs w:val="32"/>
          <w:lang w:val="en-US" w:eastAsia="zh-CN" w:bidi="ar"/>
        </w:rPr>
        <w:t>“扫黄打非”进基层现场推进会次数1次</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15.2</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11.4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75</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出版物暗访检查工作考核通过率</w:t>
      </w:r>
      <w:r>
        <w:rPr>
          <w:rFonts w:hint="eastAsia" w:cs="仿宋_GB2312"/>
          <w:color w:val="auto"/>
          <w:sz w:val="32"/>
          <w:szCs w:val="32"/>
          <w:lang w:eastAsia="zh-CN"/>
        </w:rPr>
        <w:t>、</w:t>
      </w:r>
      <w:r>
        <w:rPr>
          <w:rFonts w:hint="eastAsia" w:ascii="仿宋_GB2312" w:hAnsi="仿宋_GB2312" w:eastAsia="仿宋_GB2312" w:cs="仿宋_GB2312"/>
          <w:color w:val="auto"/>
          <w:sz w:val="32"/>
          <w:szCs w:val="32"/>
        </w:rPr>
        <w:t>非法出版物处置率</w:t>
      </w:r>
      <w:r>
        <w:rPr>
          <w:rFonts w:hint="eastAsia" w:cs="仿宋_GB2312"/>
          <w:color w:val="auto"/>
          <w:sz w:val="32"/>
          <w:szCs w:val="32"/>
          <w:lang w:eastAsia="zh-CN"/>
        </w:rPr>
        <w:t>、</w:t>
      </w:r>
      <w:r>
        <w:rPr>
          <w:rFonts w:hint="eastAsia" w:ascii="仿宋_GB2312" w:hAnsi="仿宋_GB2312" w:eastAsia="仿宋_GB2312" w:cs="仿宋_GB2312"/>
          <w:color w:val="auto"/>
          <w:sz w:val="32"/>
          <w:szCs w:val="32"/>
        </w:rPr>
        <w:t>网络平台监测有效性</w:t>
      </w:r>
      <w:r>
        <w:rPr>
          <w:rFonts w:hint="eastAsia" w:cs="仿宋_GB2312"/>
          <w:color w:val="auto"/>
          <w:sz w:val="32"/>
          <w:szCs w:val="32"/>
          <w:lang w:val="en-US" w:eastAsia="zh-CN"/>
        </w:rPr>
        <w:t>均达</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5.7</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5.51</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96.67</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cs="仿宋_GB2312"/>
          <w:color w:val="auto"/>
          <w:sz w:val="32"/>
          <w:szCs w:val="32"/>
          <w:lang w:val="en-US" w:eastAsia="zh-CN"/>
        </w:rPr>
        <w:t>全年按照</w:t>
      </w:r>
      <w:r>
        <w:rPr>
          <w:rFonts w:hint="eastAsia" w:ascii="仿宋_GB2312" w:hAnsi="仿宋_GB2312" w:eastAsia="仿宋_GB2312" w:cs="仿宋_GB2312"/>
          <w:color w:val="auto"/>
          <w:sz w:val="32"/>
          <w:szCs w:val="32"/>
        </w:rPr>
        <w:t>工作计划组织完成了“扫黄打非”会议、“扫黄打非”宣传、扫黄打非案件处理、扫黄打非网络监测、非法出版物鉴定、调研督查、培训等工作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19.1</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17.19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19</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年我部通过制作公益宣传片、发放宣传资料等形式，向群众宣传“扫黄打非”的相关政策，让社会大众对“扫黄打非”有更深的了解，“扫黄打非”媒体宣传覆盖率</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社会宣传活动覆盖率</w:t>
      </w:r>
      <w:r>
        <w:rPr>
          <w:rFonts w:hint="eastAsia" w:ascii="仿宋_GB2312" w:hAnsi="仿宋_GB2312" w:eastAsia="仿宋_GB2312" w:cs="仿宋_GB2312"/>
          <w:color w:val="auto"/>
          <w:sz w:val="32"/>
          <w:szCs w:val="32"/>
          <w:lang w:eastAsia="zh-CN"/>
        </w:rPr>
        <w:t>均</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%，增强了社会对“扫黄打非”的广泛关注，促使社会大众积极参与到“扫黄打非”工作中来，社会涉黄涉非不良风气得到改善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社会效益指标均达到了既定目标值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95</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w:t>
      </w:r>
      <w:r>
        <w:rPr>
          <w:rFonts w:hint="eastAsia" w:ascii="仿宋_GB2312" w:hAnsi="仿宋_GB2312" w:eastAsia="仿宋_GB2312" w:cs="仿宋_GB2312"/>
          <w:color w:val="auto"/>
          <w:sz w:val="32"/>
          <w:szCs w:val="32"/>
          <w:lang w:val="en-US" w:eastAsia="zh-CN" w:bidi="ar"/>
        </w:rPr>
        <w:t>10</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通过“扫黄打非”主题宣传活动，净化了辖区居民的社会生活环境，有效提高了“扫黄打非”的知晓率、参与度、满意度，形成了“扫黄打非、人人参与”的良好态势，全年“扫黄打非”工作成果得到了社会大众的一致认可</w:t>
      </w:r>
      <w:r>
        <w:rPr>
          <w:rFonts w:hint="eastAsia" w:cs="仿宋_GB2312"/>
          <w:color w:val="auto"/>
          <w:sz w:val="32"/>
          <w:szCs w:val="32"/>
          <w:lang w:eastAsia="zh-CN"/>
        </w:rPr>
        <w:t>，</w:t>
      </w:r>
      <w:r>
        <w:rPr>
          <w:rFonts w:hint="eastAsia" w:ascii="仿宋_GB2312" w:hAnsi="仿宋_GB2312" w:eastAsia="仿宋_GB2312" w:cs="仿宋_GB2312"/>
          <w:color w:val="auto"/>
          <w:sz w:val="32"/>
          <w:szCs w:val="32"/>
          <w:lang w:eastAsia="zh-CN"/>
        </w:rPr>
        <w:t>人民群众满意度达</w:t>
      </w:r>
      <w:r>
        <w:rPr>
          <w:rFonts w:hint="eastAsia" w:ascii="仿宋_GB2312" w:hAnsi="仿宋_GB2312" w:eastAsia="仿宋_GB2312" w:cs="仿宋_GB2312"/>
          <w:color w:val="auto"/>
          <w:sz w:val="32"/>
          <w:szCs w:val="32"/>
          <w:lang w:val="en-US" w:eastAsia="zh-CN"/>
        </w:rPr>
        <w:t>80</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cs="仿宋_GB2312"/>
          <w:color w:val="auto"/>
          <w:sz w:val="32"/>
          <w:szCs w:val="32"/>
          <w:lang w:val="en-US" w:eastAsia="zh-CN"/>
        </w:rPr>
        <w:t>各项支出控制在162</w:t>
      </w:r>
      <w:r>
        <w:rPr>
          <w:rFonts w:hint="eastAsia" w:ascii="仿宋_GB2312" w:hAnsi="仿宋_GB2312" w:eastAsia="仿宋_GB2312" w:cs="仿宋_GB2312"/>
          <w:color w:val="auto"/>
          <w:sz w:val="32"/>
          <w:szCs w:val="32"/>
          <w:lang w:val="en-US" w:eastAsia="zh-CN"/>
        </w:rPr>
        <w:t>.09</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cs="仿宋_GB2312"/>
          <w:color w:val="auto"/>
          <w:sz w:val="32"/>
          <w:szCs w:val="32"/>
          <w:lang w:val="en-US" w:eastAsia="zh-CN"/>
        </w:rPr>
        <w:t>的年初预算范围内</w:t>
      </w:r>
      <w:r>
        <w:rPr>
          <w:rFonts w:hint="eastAsia" w:ascii="仿宋_GB2312" w:hAnsi="仿宋_GB2312" w:eastAsia="仿宋_GB2312" w:cs="仿宋_GB2312"/>
          <w:color w:val="auto"/>
          <w:sz w:val="32"/>
          <w:szCs w:val="32"/>
        </w:rPr>
        <w:t>，</w:t>
      </w:r>
      <w:r>
        <w:rPr>
          <w:rFonts w:hint="eastAsia" w:cs="仿宋_GB2312"/>
          <w:color w:val="auto"/>
          <w:sz w:val="32"/>
          <w:szCs w:val="32"/>
          <w:lang w:val="en-US" w:eastAsia="zh-CN"/>
        </w:rPr>
        <w:t>资金使用规范</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lang w:val="en-US" w:eastAsia="zh-CN"/>
        </w:rPr>
      </w:pPr>
      <w:bookmarkStart w:id="73" w:name="_Toc26435"/>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ascii="仿宋_GB2312" w:hAnsi="仿宋_GB2312" w:eastAsia="仿宋_GB2312" w:cs="仿宋_GB2312"/>
          <w:color w:val="auto"/>
          <w:sz w:val="32"/>
          <w:szCs w:val="32"/>
          <w:lang w:val="en-US" w:eastAsia="zh-CN"/>
        </w:rPr>
        <w:t>主要原因是部分指标年初目标设置</w:t>
      </w:r>
      <w:r>
        <w:rPr>
          <w:rFonts w:hint="eastAsia" w:cs="仿宋_GB2312"/>
          <w:color w:val="auto"/>
          <w:sz w:val="32"/>
          <w:szCs w:val="32"/>
          <w:lang w:val="en-US" w:eastAsia="zh-CN"/>
        </w:rPr>
        <w:t>偏保守，未考虑到此项工作的高效推进</w:t>
      </w:r>
      <w:r>
        <w:rPr>
          <w:rFonts w:hint="eastAsia" w:ascii="仿宋_GB2312" w:hAnsi="仿宋_GB2312" w:eastAsia="仿宋_GB2312" w:cs="仿宋_GB2312"/>
          <w:color w:val="auto"/>
          <w:sz w:val="32"/>
          <w:szCs w:val="32"/>
          <w:lang w:val="en-US" w:eastAsia="zh-CN"/>
        </w:rPr>
        <w:t>，如“扫黄打非”媒体宣传次数、非法出版物鉴定种类等指标的实际完成情况远超预期目标。下一步，我部将加强项目前期</w:t>
      </w:r>
      <w:r>
        <w:rPr>
          <w:rFonts w:hint="eastAsia" w:cs="仿宋_GB2312"/>
          <w:color w:val="auto"/>
          <w:sz w:val="32"/>
          <w:szCs w:val="32"/>
          <w:lang w:val="en-US" w:eastAsia="zh-CN"/>
        </w:rPr>
        <w:t>论证</w:t>
      </w:r>
      <w:r>
        <w:rPr>
          <w:rFonts w:hint="eastAsia" w:ascii="仿宋_GB2312" w:hAnsi="仿宋_GB2312" w:eastAsia="仿宋_GB2312" w:cs="仿宋_GB2312"/>
          <w:color w:val="auto"/>
          <w:sz w:val="32"/>
          <w:szCs w:val="32"/>
          <w:lang w:val="en-US" w:eastAsia="zh-CN"/>
        </w:rPr>
        <w:t>，合理设定绩效目标，</w:t>
      </w:r>
      <w:r>
        <w:rPr>
          <w:rFonts w:hint="eastAsia" w:cs="仿宋_GB2312"/>
          <w:color w:val="auto"/>
          <w:sz w:val="32"/>
          <w:szCs w:val="32"/>
          <w:lang w:val="en-US" w:eastAsia="zh-CN"/>
        </w:rPr>
        <w:t>强化目标引领作用</w:t>
      </w:r>
      <w:r>
        <w:rPr>
          <w:rFonts w:hint="eastAsia" w:ascii="仿宋_GB2312" w:hAnsi="仿宋_GB2312" w:eastAsia="仿宋_GB2312" w:cs="仿宋_GB2312"/>
          <w:color w:val="auto"/>
          <w:sz w:val="32"/>
          <w:szCs w:val="32"/>
          <w:lang w:val="en-US" w:eastAsia="zh-CN"/>
        </w:rPr>
        <w:t>。</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六</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少数民族教材出版发行补贴</w:t>
      </w:r>
      <w:bookmarkEnd w:id="73"/>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少数民族教材出版发行补贴项目年初预算数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全年预算数</w:t>
      </w:r>
      <w:r>
        <w:rPr>
          <w:rFonts w:hint="eastAsia" w:ascii="仿宋_GB2312" w:hAnsi="仿宋_GB2312" w:eastAsia="仿宋_GB2312" w:cs="仿宋_GB2312"/>
          <w:color w:val="auto"/>
          <w:sz w:val="32"/>
          <w:szCs w:val="32"/>
          <w:lang w:eastAsia="zh-CN"/>
        </w:rPr>
        <w:t>均为</w:t>
      </w:r>
      <w:r>
        <w:rPr>
          <w:rFonts w:hint="eastAsia" w:ascii="仿宋_GB2312" w:hAnsi="仿宋_GB2312" w:eastAsia="仿宋_GB2312" w:cs="仿宋_GB2312"/>
          <w:color w:val="auto"/>
          <w:sz w:val="32"/>
          <w:szCs w:val="32"/>
        </w:rPr>
        <w:t>50万元，全年支出数50万元，预算执行率100%，指标分值10分，按评分标准得10分，得分率100%。</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96.11</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为进一步保障少数民族教育，加大对少数民族文字出版工作的扶持力度，我</w:t>
      </w:r>
      <w:r>
        <w:rPr>
          <w:rFonts w:hint="eastAsia" w:cs="仿宋_GB2312"/>
          <w:color w:val="auto"/>
          <w:sz w:val="32"/>
          <w:szCs w:val="32"/>
          <w:lang w:val="en-US" w:eastAsia="zh-CN"/>
        </w:rPr>
        <w:t>部</w:t>
      </w:r>
      <w:r>
        <w:rPr>
          <w:rFonts w:hint="eastAsia" w:ascii="仿宋_GB2312" w:hAnsi="仿宋_GB2312" w:eastAsia="仿宋_GB2312" w:cs="仿宋_GB2312"/>
          <w:color w:val="auto"/>
          <w:sz w:val="32"/>
          <w:szCs w:val="32"/>
        </w:rPr>
        <w:t>对承担少数民族文字出版发行任务的12家新华书店实现应补尽补，确保甘南州、天祝县的学生教材准时发放到位，保障当地文化教育事业发展。。</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b w:val="0"/>
          <w:bCs w:val="0"/>
          <w:color w:val="auto"/>
          <w:sz w:val="32"/>
          <w:szCs w:val="32"/>
        </w:rPr>
        <w:t>完成对甘南州、天祝县等11个少数民族地区少数民族中小学教材发行任务，共计发行9.4万余册，惠及学生9万余人，配送教材质量、时效性以及补贴发送及时率均符合即定要求，配备到位率和学生满意度均为100%，有效保障了民族地区文化教育事业发展。</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6</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38.11</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95.27</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highlight w:val="yellow"/>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年我部已将50万元少数民族教材发行补贴分配到甘南、夏河、碌曲等1</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家少数民族新华书店，发行少数民族中小学教材</w:t>
      </w:r>
      <w:r>
        <w:rPr>
          <w:rFonts w:hint="eastAsia" w:ascii="仿宋_GB2312" w:hAnsi="仿宋_GB2312" w:eastAsia="仿宋_GB2312" w:cs="仿宋_GB2312"/>
          <w:color w:val="auto"/>
          <w:sz w:val="32"/>
          <w:szCs w:val="32"/>
          <w:lang w:val="en-US" w:eastAsia="zh-CN" w:bidi="ar"/>
        </w:rPr>
        <w:t>9.4万册，中小学学生受惠人数9万人，</w:t>
      </w:r>
      <w:r>
        <w:rPr>
          <w:rFonts w:hint="eastAsia" w:ascii="仿宋_GB2312" w:hAnsi="仿宋_GB2312" w:eastAsia="仿宋_GB2312" w:cs="仿宋_GB2312"/>
          <w:color w:val="auto"/>
          <w:sz w:val="32"/>
          <w:szCs w:val="32"/>
          <w:lang w:bidi="ar"/>
        </w:rPr>
        <w:t>满足了少数民族</w:t>
      </w:r>
      <w:r>
        <w:rPr>
          <w:rFonts w:hint="eastAsia" w:ascii="仿宋_GB2312" w:hAnsi="仿宋_GB2312" w:eastAsia="仿宋_GB2312" w:cs="仿宋_GB2312"/>
          <w:color w:val="auto"/>
          <w:sz w:val="32"/>
          <w:szCs w:val="32"/>
          <w:lang w:eastAsia="zh-CN" w:bidi="ar"/>
        </w:rPr>
        <w:t>地区</w:t>
      </w:r>
      <w:r>
        <w:rPr>
          <w:rFonts w:hint="eastAsia" w:ascii="仿宋_GB2312" w:hAnsi="仿宋_GB2312" w:eastAsia="仿宋_GB2312" w:cs="仿宋_GB2312"/>
          <w:color w:val="auto"/>
          <w:sz w:val="32"/>
          <w:szCs w:val="32"/>
          <w:lang w:bidi="ar"/>
        </w:rPr>
        <w:t>群众的文化需求，促进了社会主义和谐发展</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20.01</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19.45</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97.20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lang w:eastAsia="zh-CN"/>
        </w:rPr>
        <w:t>项目验收合格率</w:t>
      </w:r>
      <w:r>
        <w:rPr>
          <w:rFonts w:hint="eastAsia" w:ascii="仿宋_GB2312" w:hAnsi="仿宋_GB2312" w:eastAsia="仿宋_GB2312" w:cs="仿宋_GB2312"/>
          <w:color w:val="auto"/>
          <w:sz w:val="32"/>
          <w:szCs w:val="32"/>
        </w:rPr>
        <w:t>为100%，</w:t>
      </w:r>
      <w:r>
        <w:rPr>
          <w:rFonts w:hint="eastAsia" w:ascii="仿宋_GB2312" w:hAnsi="仿宋_GB2312" w:eastAsia="仿宋_GB2312" w:cs="仿宋_GB2312"/>
          <w:color w:val="auto"/>
          <w:sz w:val="32"/>
          <w:szCs w:val="32"/>
          <w:lang w:eastAsia="zh-CN"/>
        </w:rPr>
        <w:t>项目实施单位严格</w:t>
      </w:r>
      <w:r>
        <w:rPr>
          <w:rFonts w:hint="eastAsia" w:ascii="仿宋_GB2312" w:hAnsi="仿宋_GB2312" w:eastAsia="仿宋_GB2312" w:cs="仿宋_GB2312"/>
          <w:color w:val="auto"/>
          <w:sz w:val="32"/>
          <w:szCs w:val="32"/>
        </w:rPr>
        <w:t>落实发行少数民族文字教材的补贴政策，</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扶持民族地区新华书店进一步做好图书发行工作起到了积极的作用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质量指标均达到了预期目标值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6.67</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6.67</w:t>
      </w:r>
      <w:r>
        <w:rPr>
          <w:rFonts w:hint="eastAsia" w:ascii="仿宋_GB2312" w:hAnsi="仿宋_GB2312" w:eastAsia="仿宋_GB2312" w:cs="仿宋_GB2312"/>
          <w:color w:val="auto"/>
          <w:sz w:val="32"/>
          <w:szCs w:val="32"/>
        </w:rPr>
        <w:t>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cs="仿宋_GB2312"/>
          <w:color w:val="auto"/>
          <w:sz w:val="32"/>
          <w:szCs w:val="32"/>
          <w:lang w:val="en-US" w:eastAsia="zh-CN"/>
        </w:rPr>
        <w:t>全年按照</w:t>
      </w:r>
      <w:r>
        <w:rPr>
          <w:rFonts w:hint="eastAsia" w:ascii="仿宋_GB2312" w:hAnsi="仿宋_GB2312" w:eastAsia="仿宋_GB2312" w:cs="仿宋_GB2312"/>
          <w:color w:val="auto"/>
          <w:sz w:val="32"/>
          <w:szCs w:val="32"/>
        </w:rPr>
        <w:t>工作计划完成了少数民族教材发行补贴分配及实施工作，各项工作均在规定时间内完成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时效指标均达到了预期目标值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13.32</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11.99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90.01</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通过项目的实施，满足了少数民族群众的文化需求，促进了社会主义和谐发展，少数民族地区学生教材配备到位率</w:t>
      </w:r>
      <w:r>
        <w:rPr>
          <w:rFonts w:hint="eastAsia" w:ascii="仿宋_GB2312" w:hAnsi="仿宋_GB2312" w:eastAsia="仿宋_GB2312" w:cs="仿宋_GB2312"/>
          <w:color w:val="auto"/>
          <w:sz w:val="32"/>
          <w:szCs w:val="32"/>
          <w:lang w:eastAsia="zh-CN"/>
        </w:rPr>
        <w:t>达到</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，有效促进了少数民族地区学生整体素质的提升，助推少数民族地区文化教育事业繁荣发展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年我部将50万元少数民族教材发行补贴分配到甘南、夏河、碌曲等1</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家少数民族新华书店，中小学受益人数约</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万人，满足了少数民族群众的文化需求，促进了社会主义和谐发展，少数民族地区学生对教材配备工作的满意度为</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%，达到了预期目标值。指标分值合计10分，按评分标准得10分，得分率100%。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cs="仿宋_GB2312"/>
          <w:color w:val="auto"/>
          <w:sz w:val="32"/>
          <w:szCs w:val="32"/>
          <w:lang w:val="en-US" w:eastAsia="zh-CN"/>
        </w:rPr>
        <w:t>各项支出控制在</w:t>
      </w:r>
      <w:r>
        <w:rPr>
          <w:rFonts w:hint="eastAsia" w:ascii="仿宋_GB2312" w:hAnsi="仿宋_GB2312" w:eastAsia="仿宋_GB2312" w:cs="仿宋_GB2312"/>
          <w:color w:val="auto"/>
          <w:sz w:val="32"/>
          <w:szCs w:val="32"/>
          <w:lang w:val="en-US" w:eastAsia="zh-CN"/>
        </w:rPr>
        <w:t>50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cs="仿宋_GB2312"/>
          <w:color w:val="auto"/>
          <w:sz w:val="32"/>
          <w:szCs w:val="32"/>
          <w:lang w:val="en-US" w:eastAsia="zh-CN"/>
        </w:rPr>
        <w:t>预算范围内</w:t>
      </w:r>
      <w:r>
        <w:rPr>
          <w:rFonts w:hint="eastAsia" w:ascii="仿宋_GB2312" w:hAnsi="仿宋_GB2312" w:eastAsia="仿宋_GB2312" w:cs="仿宋_GB2312"/>
          <w:color w:val="auto"/>
          <w:sz w:val="32"/>
          <w:szCs w:val="32"/>
        </w:rPr>
        <w:t>，</w:t>
      </w:r>
      <w:r>
        <w:rPr>
          <w:rFonts w:hint="eastAsia" w:cs="仿宋_GB2312"/>
          <w:color w:val="auto"/>
          <w:sz w:val="32"/>
          <w:szCs w:val="32"/>
          <w:lang w:val="en-US" w:eastAsia="zh-CN"/>
        </w:rPr>
        <w:t>资金使用高效</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pStyle w:val="16"/>
        <w:keepNext w:val="0"/>
        <w:keepLines w:val="0"/>
        <w:pageBreakBefore w:val="0"/>
        <w:widowControl w:val="0"/>
        <w:numPr>
          <w:ilvl w:val="0"/>
          <w:numId w:val="0"/>
        </w:numPr>
        <w:kinsoku/>
        <w:wordWrap/>
        <w:overflowPunct/>
        <w:topLinePunct w:val="0"/>
        <w:autoSpaceDE/>
        <w:autoSpaceDN/>
        <w:bidi w:val="0"/>
        <w:adjustRightInd/>
        <w:spacing w:line="600" w:lineRule="exact"/>
        <w:ind w:left="0" w:leftChars="0" w:firstLine="643"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cs="仿宋_GB2312"/>
          <w:b/>
          <w:bCs/>
          <w:color w:val="auto"/>
          <w:sz w:val="32"/>
          <w:szCs w:val="32"/>
          <w:lang w:val="en-US" w:eastAsia="zh-CN"/>
        </w:rPr>
        <w:t>补贴书店数量与年初目标存在偏差</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主要原因是</w:t>
      </w:r>
      <w:r>
        <w:rPr>
          <w:rFonts w:hint="eastAsia" w:ascii="仿宋_GB2312" w:hAnsi="仿宋_GB2312" w:eastAsia="仿宋_GB2312" w:cs="仿宋_GB2312"/>
          <w:b w:val="0"/>
          <w:bCs w:val="0"/>
          <w:color w:val="auto"/>
          <w:sz w:val="32"/>
          <w:szCs w:val="32"/>
        </w:rPr>
        <w:t>肃南地区无少数民族教材发行需求，停止补贴</w:t>
      </w:r>
      <w:r>
        <w:rPr>
          <w:rFonts w:hint="eastAsia" w:cs="仿宋_GB2312"/>
          <w:b w:val="0"/>
          <w:bCs w:val="0"/>
          <w:color w:val="auto"/>
          <w:sz w:val="32"/>
          <w:szCs w:val="32"/>
          <w:lang w:eastAsia="zh-CN"/>
        </w:rPr>
        <w:t>。</w:t>
      </w:r>
      <w:r>
        <w:rPr>
          <w:rFonts w:hint="eastAsia" w:cs="仿宋_GB2312"/>
          <w:b w:val="0"/>
          <w:bCs w:val="0"/>
          <w:color w:val="auto"/>
          <w:sz w:val="32"/>
          <w:szCs w:val="32"/>
          <w:lang w:val="en-US" w:eastAsia="zh-CN"/>
        </w:rPr>
        <w:t>下一步，提前摸排民族地区发行需求，精准核定补贴对象与目标，确保绩效目标贴合实际</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bookmarkStart w:id="74" w:name="_Toc21205"/>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农村电影公益放映补贴经费</w:t>
      </w:r>
      <w:bookmarkEnd w:id="74"/>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农村电影公益放映补贴经费项目年初预算数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3672.01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，全年预算数为</w:t>
      </w:r>
      <w:r>
        <w:rPr>
          <w:rFonts w:hint="eastAsia" w:ascii="仿宋_GB2312" w:hAnsi="仿宋_GB2312" w:eastAsia="仿宋_GB2312" w:cs="仿宋_GB2312"/>
          <w:color w:val="auto"/>
          <w:sz w:val="32"/>
          <w:szCs w:val="32"/>
          <w:lang w:val="en-US" w:eastAsia="zh-CN"/>
        </w:rPr>
        <w:t>3672.01万元，</w:t>
      </w:r>
      <w:r>
        <w:rPr>
          <w:rFonts w:hint="eastAsia" w:ascii="仿宋_GB2312" w:hAnsi="仿宋_GB2312" w:eastAsia="仿宋_GB2312" w:cs="仿宋_GB2312"/>
          <w:color w:val="auto"/>
          <w:sz w:val="32"/>
          <w:szCs w:val="32"/>
        </w:rPr>
        <w:t>全年支出数</w:t>
      </w:r>
      <w:r>
        <w:rPr>
          <w:rFonts w:hint="eastAsia" w:ascii="仿宋_GB2312" w:hAnsi="仿宋_GB2312" w:eastAsia="仿宋_GB2312" w:cs="仿宋_GB2312"/>
          <w:color w:val="auto"/>
          <w:sz w:val="32"/>
          <w:szCs w:val="32"/>
          <w:lang w:val="en-US" w:eastAsia="zh-CN"/>
        </w:rPr>
        <w:t>3652.74</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99.47</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9.95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99.47</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outlineLvl w:val="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总体绩效目</w:t>
      </w:r>
      <w:r>
        <w:rPr>
          <w:rStyle w:val="37"/>
          <w:rFonts w:hint="eastAsia" w:ascii="仿宋_GB2312" w:hAnsi="仿宋_GB2312" w:eastAsia="仿宋_GB2312" w:cs="仿宋_GB2312"/>
          <w:color w:val="auto"/>
          <w:sz w:val="32"/>
          <w:szCs w:val="32"/>
        </w:rPr>
        <w:t>标</w:t>
      </w:r>
      <w:r>
        <w:rPr>
          <w:rFonts w:hint="eastAsia" w:ascii="仿宋_GB2312" w:hAnsi="仿宋_GB2312" w:eastAsia="仿宋_GB2312" w:cs="仿宋_GB2312"/>
          <w:b/>
          <w:bCs/>
          <w:color w:val="auto"/>
          <w:sz w:val="32"/>
          <w:szCs w:val="32"/>
        </w:rPr>
        <w:t>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90.39</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val="0"/>
          <w:bCs w:val="0"/>
          <w:color w:val="auto"/>
          <w:sz w:val="32"/>
          <w:szCs w:val="32"/>
        </w:rPr>
        <w:t>全省有效放映点为16214个，其中：行政村12155个、中心村79个、乡镇驻地597个、城镇社区607个、固定放映点235个、其余放映点1045个、中小学校1496个。年放映公益电影196692场。</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2025年，全省已覆盖城镇社区数量1125个，完成计划任务的185.34%；覆盖放映点数量23369个，完成计划任务的144.13%；覆盖乡镇驻地数量1629个，完成计划任务的272.86%；覆盖行政村(中心村)数量14339个，完成计划任务的117.21%；覆盖中小学校数量4422个，完成计划任务的295.59%；固定放映点及其他点等2991个，完成计划任务的233.67%。所有指标数据均超过年度计划任务，达到预期目标。</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8</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32.44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81.1</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jc w:val="left"/>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全省</w:t>
      </w:r>
      <w:r>
        <w:rPr>
          <w:rFonts w:hint="eastAsia" w:ascii="仿宋_GB2312" w:hAnsi="仿宋_GB2312" w:eastAsia="仿宋_GB2312" w:cs="仿宋_GB2312"/>
          <w:color w:val="auto"/>
          <w:sz w:val="32"/>
          <w:szCs w:val="32"/>
          <w:lang w:val="en-US" w:eastAsia="zh-CN" w:bidi="ar"/>
        </w:rPr>
        <w:t>23369</w:t>
      </w:r>
      <w:r>
        <w:rPr>
          <w:rFonts w:hint="eastAsia" w:ascii="仿宋_GB2312" w:hAnsi="仿宋_GB2312" w:eastAsia="仿宋_GB2312" w:cs="仿宋_GB2312"/>
          <w:color w:val="auto"/>
          <w:sz w:val="32"/>
          <w:szCs w:val="32"/>
          <w:lang w:bidi="ar"/>
        </w:rPr>
        <w:t>个有效放映点</w:t>
      </w:r>
      <w:r>
        <w:rPr>
          <w:rFonts w:hint="eastAsia" w:ascii="仿宋_GB2312" w:hAnsi="仿宋_GB2312" w:eastAsia="仿宋_GB2312" w:cs="仿宋_GB2312"/>
          <w:color w:val="auto"/>
          <w:sz w:val="32"/>
          <w:szCs w:val="32"/>
          <w:lang w:eastAsia="zh-CN" w:bidi="ar"/>
        </w:rPr>
        <w:t>共放映</w:t>
      </w:r>
      <w:r>
        <w:rPr>
          <w:rFonts w:hint="eastAsia" w:ascii="仿宋_GB2312" w:hAnsi="仿宋_GB2312" w:eastAsia="仿宋_GB2312" w:cs="仿宋_GB2312"/>
          <w:color w:val="auto"/>
          <w:sz w:val="32"/>
          <w:szCs w:val="32"/>
          <w:lang w:bidi="ar"/>
        </w:rPr>
        <w:t>农村电影公益放映196692场</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13</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8.14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62.62</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cs="仿宋_GB2312"/>
          <w:color w:val="auto"/>
          <w:sz w:val="32"/>
          <w:szCs w:val="32"/>
          <w:lang w:val="en-US" w:eastAsia="zh-CN"/>
        </w:rPr>
        <w:t>放映有效场次</w:t>
      </w:r>
      <w:r>
        <w:rPr>
          <w:rFonts w:hint="eastAsia" w:ascii="仿宋_GB2312" w:hAnsi="仿宋_GB2312" w:eastAsia="仿宋_GB2312" w:cs="仿宋_GB2312"/>
          <w:color w:val="auto"/>
          <w:sz w:val="32"/>
          <w:szCs w:val="32"/>
        </w:rPr>
        <w:t>达标</w:t>
      </w:r>
      <w:r>
        <w:rPr>
          <w:rFonts w:hint="eastAsia" w:cs="仿宋_GB2312"/>
          <w:color w:val="auto"/>
          <w:sz w:val="32"/>
          <w:szCs w:val="32"/>
          <w:lang w:val="en-US" w:eastAsia="zh-CN"/>
        </w:rPr>
        <w:t>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12.6</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lang w:val="en-US" w:eastAsia="zh-CN"/>
        </w:rPr>
        <w:t>按时完成全年放映任务</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11.7</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通过放映红色经典影片、法制和</w:t>
      </w:r>
      <w:r>
        <w:rPr>
          <w:rFonts w:hint="eastAsia" w:ascii="仿宋_GB2312" w:hAnsi="仿宋_GB2312" w:eastAsia="仿宋_GB2312" w:cs="仿宋_GB2312"/>
          <w:color w:val="auto"/>
          <w:sz w:val="32"/>
          <w:szCs w:val="32"/>
          <w:lang w:eastAsia="zh-CN"/>
        </w:rPr>
        <w:t>农业科技</w:t>
      </w:r>
      <w:r>
        <w:rPr>
          <w:rFonts w:hint="eastAsia" w:ascii="仿宋_GB2312" w:hAnsi="仿宋_GB2312" w:eastAsia="仿宋_GB2312" w:cs="仿宋_GB2312"/>
          <w:color w:val="auto"/>
          <w:sz w:val="32"/>
          <w:szCs w:val="32"/>
        </w:rPr>
        <w:t>短片，宣传党的路线方针政策、加强农村文化建设、普及科学技术知识、提高农民思想道德素质，促进农村经济社会全面发展，增强了法治观念和</w:t>
      </w:r>
      <w:r>
        <w:rPr>
          <w:rFonts w:hint="eastAsia" w:ascii="仿宋_GB2312" w:hAnsi="仿宋_GB2312" w:eastAsia="仿宋_GB2312" w:cs="仿宋_GB2312"/>
          <w:color w:val="auto"/>
          <w:sz w:val="32"/>
          <w:szCs w:val="32"/>
          <w:lang w:eastAsia="zh-CN"/>
        </w:rPr>
        <w:t>农技</w:t>
      </w:r>
      <w:r>
        <w:rPr>
          <w:rFonts w:hint="eastAsia" w:ascii="仿宋_GB2312" w:hAnsi="仿宋_GB2312" w:eastAsia="仿宋_GB2312" w:cs="仿宋_GB2312"/>
          <w:color w:val="auto"/>
          <w:sz w:val="32"/>
          <w:szCs w:val="32"/>
        </w:rPr>
        <w:t>能力。开展形式多样的主题公益放映活动，产生了良好的社会效益，丰富了群众文化生活。指标分值合计</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农村群众观影满意度</w:t>
      </w:r>
      <w:r>
        <w:rPr>
          <w:rFonts w:hint="eastAsia" w:cs="仿宋_GB2312"/>
          <w:color w:val="auto"/>
          <w:sz w:val="32"/>
          <w:szCs w:val="32"/>
          <w:lang w:val="en-US" w:eastAsia="zh-CN"/>
        </w:rPr>
        <w:t>达标，项目获群众广泛好评</w:t>
      </w:r>
      <w:r>
        <w:rPr>
          <w:rFonts w:hint="eastAsia" w:ascii="仿宋_GB2312" w:hAnsi="仿宋_GB2312" w:eastAsia="仿宋_GB2312" w:cs="仿宋_GB2312"/>
          <w:color w:val="auto"/>
          <w:sz w:val="32"/>
          <w:szCs w:val="32"/>
        </w:rPr>
        <w:t>。满意度指标分值10分，按评分标准得10分，得分率100%。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农村电影公益放映每场补贴标准</w:t>
      </w:r>
      <w:r>
        <w:rPr>
          <w:rFonts w:hint="eastAsia" w:ascii="仿宋_GB2312" w:hAnsi="仿宋_GB2312" w:eastAsia="仿宋_GB2312" w:cs="仿宋_GB2312"/>
          <w:color w:val="auto"/>
          <w:sz w:val="32"/>
          <w:szCs w:val="32"/>
          <w:lang w:val="en-US" w:eastAsia="zh-CN"/>
        </w:rPr>
        <w:t>年初目标</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168</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按照专项资金最新管理办法，实际补贴为每场181元</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0%。</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lang w:val="en-US" w:eastAsia="zh-CN"/>
        </w:rPr>
      </w:pPr>
      <w:bookmarkStart w:id="75" w:name="_Toc5396"/>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ascii="仿宋_GB2312" w:hAnsi="仿宋_GB2312" w:eastAsia="仿宋_GB2312" w:cs="仿宋_GB2312"/>
          <w:color w:val="auto"/>
          <w:sz w:val="32"/>
          <w:szCs w:val="32"/>
          <w:lang w:val="en-US" w:eastAsia="zh-CN"/>
        </w:rPr>
        <w:t>主要原因是部分指标年初目标设置</w:t>
      </w:r>
      <w:r>
        <w:rPr>
          <w:rFonts w:hint="eastAsia" w:cs="仿宋_GB2312"/>
          <w:color w:val="auto"/>
          <w:sz w:val="32"/>
          <w:szCs w:val="32"/>
          <w:lang w:val="en-US" w:eastAsia="zh-CN"/>
        </w:rPr>
        <w:t>未充分结合农村电影放映需求</w:t>
      </w:r>
      <w:r>
        <w:rPr>
          <w:rFonts w:hint="eastAsia" w:ascii="仿宋_GB2312" w:hAnsi="仿宋_GB2312" w:eastAsia="仿宋_GB2312" w:cs="仿宋_GB2312"/>
          <w:color w:val="auto"/>
          <w:sz w:val="32"/>
          <w:szCs w:val="32"/>
          <w:lang w:val="en-US" w:eastAsia="zh-CN"/>
        </w:rPr>
        <w:t>，如“</w:t>
      </w:r>
      <w:r>
        <w:rPr>
          <w:rFonts w:hint="eastAsia" w:ascii="仿宋_GB2312" w:hAnsi="仿宋_GB2312" w:eastAsia="仿宋_GB2312" w:cs="仿宋_GB2312"/>
          <w:b w:val="0"/>
          <w:bCs w:val="0"/>
          <w:color w:val="auto"/>
          <w:kern w:val="2"/>
          <w:sz w:val="32"/>
          <w:szCs w:val="32"/>
          <w:lang w:val="en-US" w:eastAsia="zh-CN" w:bidi="ar-SA"/>
        </w:rPr>
        <w:t>覆盖城镇社区数量、覆盖放映点数量、覆盖乡镇驻地数量、覆盖行政村(中心村)数量、覆盖中小学校数量</w:t>
      </w:r>
      <w:r>
        <w:rPr>
          <w:rFonts w:hint="eastAsia" w:ascii="仿宋_GB2312" w:hAnsi="仿宋_GB2312" w:eastAsia="仿宋_GB2312" w:cs="仿宋_GB2312"/>
          <w:color w:val="auto"/>
          <w:sz w:val="32"/>
          <w:szCs w:val="32"/>
          <w:lang w:val="en-US" w:eastAsia="zh-CN"/>
        </w:rPr>
        <w:t>等指标的实际完成情况远超预期目标。下一步，我部将加强项目前期</w:t>
      </w:r>
      <w:r>
        <w:rPr>
          <w:rFonts w:hint="eastAsia" w:cs="仿宋_GB2312"/>
          <w:color w:val="auto"/>
          <w:sz w:val="32"/>
          <w:szCs w:val="32"/>
          <w:lang w:val="en-US" w:eastAsia="zh-CN"/>
        </w:rPr>
        <w:t>论证，</w:t>
      </w:r>
      <w:r>
        <w:rPr>
          <w:rFonts w:hint="eastAsia" w:ascii="仿宋_GB2312" w:hAnsi="仿宋_GB2312" w:eastAsia="仿宋_GB2312" w:cs="仿宋_GB2312"/>
          <w:color w:val="auto"/>
          <w:sz w:val="32"/>
          <w:szCs w:val="32"/>
          <w:lang w:val="en-US" w:eastAsia="zh-CN"/>
        </w:rPr>
        <w:t>合理设定绩效目标，</w:t>
      </w:r>
      <w:r>
        <w:rPr>
          <w:rFonts w:hint="eastAsia" w:cs="仿宋_GB2312"/>
          <w:color w:val="auto"/>
          <w:sz w:val="32"/>
          <w:szCs w:val="32"/>
          <w:lang w:val="en-US" w:eastAsia="zh-CN"/>
        </w:rPr>
        <w:t>强化目标引领作用</w:t>
      </w:r>
      <w:r>
        <w:rPr>
          <w:rFonts w:hint="eastAsia" w:ascii="仿宋_GB2312" w:hAnsi="仿宋_GB2312" w:eastAsia="仿宋_GB2312" w:cs="仿宋_GB2312"/>
          <w:color w:val="auto"/>
          <w:sz w:val="32"/>
          <w:szCs w:val="32"/>
          <w:lang w:val="en-US" w:eastAsia="zh-CN"/>
        </w:rPr>
        <w:t>。</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电影事业发展专项资金</w:t>
      </w:r>
      <w:bookmarkEnd w:id="75"/>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电影事业发展专项资金项目年初预算数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2910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全年预算数</w:t>
      </w:r>
      <w:r>
        <w:rPr>
          <w:rFonts w:hint="eastAsia" w:ascii="仿宋_GB2312" w:hAnsi="仿宋_GB2312" w:eastAsia="仿宋_GB2312" w:cs="仿宋_GB2312"/>
          <w:color w:val="auto"/>
          <w:sz w:val="32"/>
          <w:szCs w:val="32"/>
          <w:lang w:val="en-US" w:eastAsia="zh-CN"/>
        </w:rPr>
        <w:t>2433.69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全年支出数</w:t>
      </w:r>
      <w:r>
        <w:rPr>
          <w:rFonts w:hint="eastAsia" w:ascii="仿宋_GB2312" w:hAnsi="仿宋_GB2312" w:eastAsia="仿宋_GB2312" w:cs="仿宋_GB2312"/>
          <w:color w:val="auto"/>
          <w:sz w:val="32"/>
          <w:szCs w:val="32"/>
          <w:lang w:val="en-US" w:eastAsia="zh-CN"/>
        </w:rPr>
        <w:t>2433.69万元，</w:t>
      </w:r>
      <w:r>
        <w:rPr>
          <w:rFonts w:hint="eastAsia" w:ascii="仿宋_GB2312" w:hAnsi="仿宋_GB2312" w:eastAsia="仿宋_GB2312" w:cs="仿宋_GB2312"/>
          <w:color w:val="auto"/>
          <w:sz w:val="32"/>
          <w:szCs w:val="32"/>
        </w:rPr>
        <w:t>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right="0" w:rightChars="0"/>
        <w:textAlignment w:val="auto"/>
        <w:rPr>
          <w:rFonts w:hint="default" w:ascii="仿宋_GB2312" w:hAnsi="仿宋_GB2312" w:eastAsia="仿宋_GB2312" w:cs="仿宋_GB2312"/>
          <w:b/>
          <w:bCs/>
          <w:color w:val="auto"/>
          <w:sz w:val="32"/>
          <w:szCs w:val="32"/>
          <w:lang w:val="en-US" w:eastAsia="zh-CN"/>
        </w:rPr>
      </w:pPr>
      <w:r>
        <w:rPr>
          <w:rFonts w:hint="eastAsia" w:cs="仿宋_GB2312"/>
          <w:b/>
          <w:bCs/>
          <w:color w:val="auto"/>
          <w:sz w:val="32"/>
          <w:szCs w:val="32"/>
          <w:lang w:val="en-US" w:eastAsia="zh-CN"/>
        </w:rPr>
        <w:t>本</w:t>
      </w:r>
      <w:r>
        <w:rPr>
          <w:rFonts w:hint="eastAsia" w:ascii="仿宋_GB2312" w:hAnsi="仿宋_GB2312" w:eastAsia="仿宋_GB2312" w:cs="仿宋_GB2312"/>
          <w:b/>
          <w:bCs/>
          <w:color w:val="auto"/>
          <w:sz w:val="32"/>
          <w:szCs w:val="32"/>
          <w:lang w:eastAsia="zh-CN"/>
        </w:rPr>
        <w:t>项目为以收定支项目</w:t>
      </w:r>
      <w:r>
        <w:rPr>
          <w:rFonts w:hint="eastAsia" w:cs="仿宋_GB2312"/>
          <w:b/>
          <w:bCs/>
          <w:color w:val="auto"/>
          <w:sz w:val="32"/>
          <w:szCs w:val="32"/>
          <w:lang w:eastAsia="zh-CN"/>
        </w:rPr>
        <w:t>，</w:t>
      </w:r>
      <w:r>
        <w:rPr>
          <w:rFonts w:hint="eastAsia" w:cs="仿宋_GB2312"/>
          <w:b/>
          <w:bCs/>
          <w:color w:val="auto"/>
          <w:sz w:val="32"/>
          <w:szCs w:val="32"/>
          <w:lang w:val="en-US" w:eastAsia="zh-CN"/>
        </w:rPr>
        <w:t>全年预算按照专资实际征缴情况调整。</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90.12</w:t>
      </w:r>
      <w:r>
        <w:rPr>
          <w:rFonts w:hint="eastAsia" w:ascii="仿宋_GB2312" w:hAnsi="仿宋_GB2312" w:eastAsia="仿宋_GB2312" w:cs="仿宋_GB2312"/>
          <w:color w:val="auto"/>
          <w:sz w:val="32"/>
          <w:szCs w:val="32"/>
        </w:rPr>
        <w:t>分，自评结果为“</w:t>
      </w:r>
      <w:r>
        <w:rPr>
          <w:rFonts w:hint="eastAsia" w:ascii="仿宋_GB2312" w:hAnsi="仿宋_GB2312" w:eastAsia="仿宋_GB2312" w:cs="仿宋_GB2312"/>
          <w:color w:val="auto"/>
          <w:sz w:val="32"/>
          <w:szCs w:val="32"/>
          <w:lang w:eastAsia="zh-CN"/>
        </w:rPr>
        <w:t>优</w:t>
      </w:r>
      <w:r>
        <w:rPr>
          <w:rFonts w:hint="eastAsia" w:ascii="仿宋_GB2312" w:hAnsi="仿宋_GB2312" w:eastAsia="仿宋_GB2312" w:cs="仿宋_GB2312"/>
          <w:color w:val="auto"/>
          <w:sz w:val="32"/>
          <w:szCs w:val="32"/>
        </w:rPr>
        <w:t>”。主要任务完成情况分析如下：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扶持乡镇和中西部县城新建的数字影院7家左右，促进基层影院发展。弘扬中华文化，促进民族团结，少数民族语影片译制不低于40部次。奖励国产片放映成绩达标影院100家，资助“人民院线”“艺术影片放映联盟”影院40家，资助10家少数民族自治州、自治县数字影院的运营和维护。通过电影事业发展专项资金支出，进一步提升影院放映影片的质量和放映技术质量，提高人民群众观影的满意度，为电影产业的发展提质增效，进一步优化产业机构，扩大文化产业服务覆盖面，推动我省电影事业的长期发展。</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资助乡镇和</w:t>
      </w:r>
      <w:r>
        <w:rPr>
          <w:rFonts w:hint="eastAsia" w:cs="仿宋_GB2312"/>
          <w:color w:val="auto"/>
          <w:sz w:val="32"/>
          <w:szCs w:val="32"/>
          <w:lang w:val="en-US" w:eastAsia="zh-CN"/>
        </w:rPr>
        <w:t>我省</w:t>
      </w:r>
      <w:r>
        <w:rPr>
          <w:rFonts w:hint="eastAsia" w:ascii="仿宋_GB2312" w:hAnsi="仿宋_GB2312" w:eastAsia="仿宋_GB2312" w:cs="仿宋_GB2312"/>
          <w:color w:val="auto"/>
          <w:sz w:val="32"/>
          <w:szCs w:val="32"/>
        </w:rPr>
        <w:t>中西部县城新建数字影院9家，促进基层影院发展。弘扬中华文化，促进民族团结，完成少数民族语影片译制45部次。奖励国产片放映成绩达标影院186家，资助“人民院线”“艺术影片放映联盟”影院145家，资助14家少数民族自治州、自治县数字影院的运营和维护。通过电影事业发展专项资金支出，进一步提升影院放映影片的质量和放映技术质量，提高人民群众观影的满意度，为电影产业的发展提质增效，推动我省电影事业的长期发展提供支撑。</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8</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38</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32.24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84.84</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年我部奖励放映国产影片成绩突出的影院</w:t>
      </w:r>
      <w:r>
        <w:rPr>
          <w:rFonts w:hint="eastAsia" w:ascii="仿宋_GB2312" w:hAnsi="仿宋_GB2312" w:eastAsia="仿宋_GB2312" w:cs="仿宋_GB2312"/>
          <w:color w:val="auto"/>
          <w:sz w:val="32"/>
          <w:szCs w:val="32"/>
          <w:lang w:val="en-US" w:eastAsia="zh-CN" w:bidi="ar"/>
        </w:rPr>
        <w:t>186</w:t>
      </w:r>
      <w:r>
        <w:rPr>
          <w:rFonts w:hint="eastAsia" w:ascii="仿宋_GB2312" w:hAnsi="仿宋_GB2312" w:eastAsia="仿宋_GB2312" w:cs="仿宋_GB2312"/>
          <w:color w:val="auto"/>
          <w:sz w:val="32"/>
          <w:szCs w:val="32"/>
          <w:lang w:bidi="ar"/>
        </w:rPr>
        <w:t>家，资助“人民院线”影院、“艺术放映联盟”的影院</w:t>
      </w:r>
      <w:r>
        <w:rPr>
          <w:rFonts w:hint="eastAsia" w:ascii="仿宋_GB2312" w:hAnsi="仿宋_GB2312" w:eastAsia="仿宋_GB2312" w:cs="仿宋_GB2312"/>
          <w:color w:val="auto"/>
          <w:sz w:val="32"/>
          <w:szCs w:val="32"/>
          <w:lang w:val="en-US" w:eastAsia="zh-CN" w:bidi="ar"/>
        </w:rPr>
        <w:t>145</w:t>
      </w:r>
      <w:r>
        <w:rPr>
          <w:rFonts w:hint="eastAsia" w:ascii="仿宋_GB2312" w:hAnsi="仿宋_GB2312" w:eastAsia="仿宋_GB2312" w:cs="仿宋_GB2312"/>
          <w:color w:val="auto"/>
          <w:sz w:val="32"/>
          <w:szCs w:val="32"/>
          <w:lang w:bidi="ar"/>
        </w:rPr>
        <w:t>家，少数民族县区数字影院的运营和维护补助影院</w:t>
      </w:r>
      <w:r>
        <w:rPr>
          <w:rFonts w:hint="eastAsia" w:ascii="仿宋_GB2312" w:hAnsi="仿宋_GB2312" w:eastAsia="仿宋_GB2312" w:cs="仿宋_GB2312"/>
          <w:color w:val="auto"/>
          <w:sz w:val="32"/>
          <w:szCs w:val="32"/>
          <w:lang w:val="en-US" w:eastAsia="zh-CN" w:bidi="ar"/>
        </w:rPr>
        <w:t>14</w:t>
      </w:r>
      <w:r>
        <w:rPr>
          <w:rFonts w:hint="eastAsia" w:ascii="仿宋_GB2312" w:hAnsi="仿宋_GB2312" w:eastAsia="仿宋_GB2312" w:cs="仿宋_GB2312"/>
          <w:color w:val="auto"/>
          <w:sz w:val="32"/>
          <w:szCs w:val="32"/>
          <w:lang w:bidi="ar"/>
        </w:rPr>
        <w:t>家</w:t>
      </w:r>
      <w:r>
        <w:rPr>
          <w:rFonts w:hint="eastAsia" w:ascii="仿宋_GB2312" w:hAnsi="仿宋_GB2312" w:eastAsia="仿宋_GB2312" w:cs="仿宋_GB2312"/>
          <w:color w:val="auto"/>
          <w:sz w:val="32"/>
          <w:szCs w:val="32"/>
          <w:lang w:eastAsia="zh-CN" w:bidi="ar"/>
        </w:rPr>
        <w:t>，少数民族语影片译制部次</w:t>
      </w:r>
      <w:r>
        <w:rPr>
          <w:rFonts w:hint="eastAsia" w:ascii="仿宋_GB2312" w:hAnsi="仿宋_GB2312" w:eastAsia="仿宋_GB2312" w:cs="仿宋_GB2312"/>
          <w:color w:val="auto"/>
          <w:sz w:val="32"/>
          <w:szCs w:val="32"/>
          <w:lang w:val="en-US" w:eastAsia="zh-CN" w:bidi="ar"/>
        </w:rPr>
        <w:t>45部次，补助乡镇和中西部地区县城新建的数字影院数量7家</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12.84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71.33</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实施电影事业发展专项资金项目，是推动我省电影产业全面发展的重要措施。</w:t>
      </w:r>
      <w:r>
        <w:rPr>
          <w:rFonts w:hint="eastAsia" w:cs="仿宋_GB2312"/>
          <w:color w:val="auto"/>
          <w:sz w:val="32"/>
          <w:szCs w:val="32"/>
          <w:lang w:val="en-US" w:eastAsia="zh-CN"/>
        </w:rPr>
        <w:t>我省</w:t>
      </w:r>
      <w:r>
        <w:rPr>
          <w:rFonts w:hint="eastAsia" w:ascii="仿宋_GB2312" w:hAnsi="仿宋_GB2312" w:eastAsia="仿宋_GB2312" w:cs="仿宋_GB2312"/>
          <w:color w:val="auto"/>
          <w:sz w:val="32"/>
          <w:szCs w:val="32"/>
        </w:rPr>
        <w:t>积极响应国家号召，结合省内具体情况，制定了《甘肃省电影事业发展专项资金征收使用管理办法》，为我省管理使用电影事业发展专项资金提供了政策依据，符合城市院线标准影院合格率</w:t>
      </w:r>
      <w:r>
        <w:rPr>
          <w:rFonts w:hint="eastAsia" w:ascii="仿宋_GB2312" w:hAnsi="仿宋_GB2312" w:eastAsia="仿宋_GB2312" w:cs="仿宋_GB2312"/>
          <w:color w:val="auto"/>
          <w:sz w:val="32"/>
          <w:szCs w:val="32"/>
          <w:lang w:eastAsia="zh-CN"/>
        </w:rPr>
        <w:t>、少数民族语影片译制合格率</w:t>
      </w:r>
      <w:r>
        <w:rPr>
          <w:rFonts w:hint="eastAsia" w:ascii="仿宋_GB2312" w:hAnsi="仿宋_GB2312" w:eastAsia="仿宋_GB2312" w:cs="仿宋_GB2312"/>
          <w:color w:val="auto"/>
          <w:sz w:val="32"/>
          <w:szCs w:val="32"/>
          <w:lang w:val="en-US" w:eastAsia="zh-CN"/>
        </w:rPr>
        <w:t>均完成预期目标值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按评分标准得</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b w:val="0"/>
          <w:bCs w:val="0"/>
          <w:color w:val="auto"/>
          <w:sz w:val="32"/>
          <w:szCs w:val="32"/>
          <w:lang w:eastAsia="zh-CN"/>
        </w:rPr>
        <w:t>补贴发放及时有序。</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5.4</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效益指标包括经济效益指标、社会效益指标</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22</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19.88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90.36</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eastAsia="zh-CN"/>
        </w:rPr>
        <w:t>经济效益</w:t>
      </w:r>
      <w:r>
        <w:rPr>
          <w:rFonts w:hint="eastAsia" w:ascii="仿宋_GB2312" w:hAnsi="仿宋_GB2312" w:eastAsia="仿宋_GB2312" w:cs="仿宋_GB2312"/>
          <w:b/>
          <w:bCs/>
          <w:color w:val="auto"/>
          <w:sz w:val="32"/>
          <w:szCs w:val="32"/>
        </w:rPr>
        <w:t>指标：</w:t>
      </w:r>
      <w:r>
        <w:rPr>
          <w:rFonts w:hint="eastAsia" w:ascii="仿宋_GB2312" w:hAnsi="仿宋_GB2312" w:eastAsia="仿宋_GB2312" w:cs="仿宋_GB2312"/>
          <w:b w:val="0"/>
          <w:bCs w:val="0"/>
          <w:color w:val="auto"/>
          <w:sz w:val="32"/>
          <w:szCs w:val="32"/>
        </w:rPr>
        <w:t>年度国产片票房</w:t>
      </w:r>
      <w:r>
        <w:rPr>
          <w:rFonts w:hint="eastAsia" w:ascii="仿宋_GB2312" w:hAnsi="仿宋_GB2312" w:eastAsia="仿宋_GB2312" w:cs="仿宋_GB2312"/>
          <w:b w:val="0"/>
          <w:bCs w:val="0"/>
          <w:color w:val="auto"/>
          <w:sz w:val="32"/>
          <w:szCs w:val="32"/>
          <w:lang w:eastAsia="zh-CN"/>
        </w:rPr>
        <w:t>达到</w:t>
      </w:r>
      <w:r>
        <w:rPr>
          <w:rFonts w:hint="eastAsia" w:ascii="仿宋_GB2312" w:hAnsi="仿宋_GB2312" w:eastAsia="仿宋_GB2312" w:cs="仿宋_GB2312"/>
          <w:b w:val="0"/>
          <w:bCs w:val="0"/>
          <w:color w:val="auto"/>
          <w:sz w:val="32"/>
          <w:szCs w:val="32"/>
          <w:lang w:val="en-US" w:eastAsia="zh-CN"/>
        </w:rPr>
        <w:t>5.08亿</w:t>
      </w:r>
      <w:r>
        <w:rPr>
          <w:rFonts w:hint="eastAsia" w:ascii="仿宋_GB2312" w:hAnsi="仿宋_GB2312" w:eastAsia="仿宋_GB2312" w:cs="仿宋_GB2312"/>
          <w:b w:val="0"/>
          <w:bCs w:val="0"/>
          <w:color w:val="auto"/>
          <w:sz w:val="32"/>
          <w:szCs w:val="32"/>
          <w:lang w:eastAsia="zh-CN"/>
        </w:rPr>
        <w:t>元，国产影片票房收入占总票房收入比达到</w:t>
      </w:r>
      <w:r>
        <w:rPr>
          <w:rFonts w:hint="eastAsia" w:ascii="仿宋_GB2312" w:hAnsi="仿宋_GB2312" w:eastAsia="仿宋_GB2312" w:cs="仿宋_GB2312"/>
          <w:b w:val="0"/>
          <w:bCs w:val="0"/>
          <w:color w:val="auto"/>
          <w:sz w:val="32"/>
          <w:szCs w:val="32"/>
          <w:lang w:val="en-US" w:eastAsia="zh-CN"/>
        </w:rPr>
        <w:t>82.98%。</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eastAsia="zh-CN"/>
        </w:rPr>
        <w:t>合计</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47.2</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年度国家电影事业发展专项在实施过程中，通过电影</w:t>
      </w:r>
      <w:r>
        <w:rPr>
          <w:rFonts w:hint="eastAsia" w:ascii="仿宋_GB2312" w:hAnsi="仿宋_GB2312" w:eastAsia="仿宋_GB2312" w:cs="仿宋_GB2312"/>
          <w:color w:val="auto"/>
          <w:sz w:val="32"/>
          <w:szCs w:val="32"/>
          <w:lang w:eastAsia="zh-CN"/>
        </w:rPr>
        <w:t>放映</w:t>
      </w:r>
      <w:r>
        <w:rPr>
          <w:rFonts w:hint="eastAsia" w:ascii="仿宋_GB2312" w:hAnsi="仿宋_GB2312" w:eastAsia="仿宋_GB2312" w:cs="仿宋_GB2312"/>
          <w:color w:val="auto"/>
          <w:sz w:val="32"/>
          <w:szCs w:val="32"/>
        </w:rPr>
        <w:t>，增强了人民群众对社会主义核心价值观的认同感，丰富了广大人民群众的精神文化生活</w:t>
      </w:r>
      <w:r>
        <w:rPr>
          <w:rFonts w:hint="eastAsia" w:ascii="仿宋_GB2312" w:hAnsi="仿宋_GB2312" w:eastAsia="仿宋_GB2312" w:cs="仿宋_GB2312"/>
          <w:color w:val="auto"/>
          <w:sz w:val="32"/>
          <w:szCs w:val="32"/>
          <w:lang w:eastAsia="zh-CN"/>
        </w:rPr>
        <w:t>，进一步</w:t>
      </w:r>
      <w:r>
        <w:rPr>
          <w:rFonts w:hint="eastAsia" w:ascii="仿宋_GB2312" w:hAnsi="仿宋_GB2312" w:eastAsia="仿宋_GB2312" w:cs="仿宋_GB2312"/>
          <w:color w:val="auto"/>
          <w:sz w:val="32"/>
          <w:szCs w:val="32"/>
        </w:rPr>
        <w:t>保障电影产业发展的提质增效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19.5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18.7</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95.9</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补贴对象</w:t>
      </w:r>
      <w:r>
        <w:rPr>
          <w:rFonts w:hint="eastAsia" w:ascii="仿宋_GB2312" w:hAnsi="仿宋_GB2312" w:eastAsia="仿宋_GB2312" w:cs="仿宋_GB2312"/>
          <w:color w:val="auto"/>
          <w:sz w:val="32"/>
          <w:szCs w:val="32"/>
        </w:rPr>
        <w:t>满意度为</w:t>
      </w:r>
      <w:r>
        <w:rPr>
          <w:rFonts w:hint="eastAsia" w:ascii="仿宋_GB2312" w:hAnsi="仿宋_GB2312" w:eastAsia="仿宋_GB2312" w:cs="仿宋_GB2312"/>
          <w:color w:val="auto"/>
          <w:sz w:val="32"/>
          <w:szCs w:val="32"/>
          <w:lang w:val="en-US" w:eastAsia="zh-CN"/>
        </w:rPr>
        <w:t>85</w:t>
      </w:r>
      <w:r>
        <w:rPr>
          <w:rFonts w:hint="eastAsia" w:ascii="仿宋_GB2312" w:hAnsi="仿宋_GB2312" w:eastAsia="仿宋_GB2312" w:cs="仿宋_GB2312"/>
          <w:color w:val="auto"/>
          <w:sz w:val="32"/>
          <w:szCs w:val="32"/>
        </w:rPr>
        <w:t>%，达到了预期目标值。满意度指标分值10分，按评分标准得10分，得分率100%。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cs="仿宋_GB2312"/>
          <w:color w:val="auto"/>
          <w:sz w:val="32"/>
          <w:szCs w:val="32"/>
          <w:lang w:val="en-US" w:eastAsia="zh-CN"/>
        </w:rPr>
        <w:t>各项支出均控制在</w:t>
      </w:r>
      <w:r>
        <w:rPr>
          <w:rFonts w:hint="eastAsia" w:ascii="仿宋_GB2312" w:hAnsi="仿宋_GB2312" w:eastAsia="仿宋_GB2312" w:cs="仿宋_GB2312"/>
          <w:color w:val="auto"/>
          <w:sz w:val="32"/>
          <w:szCs w:val="32"/>
          <w:lang w:val="en-US" w:eastAsia="zh-CN"/>
        </w:rPr>
        <w:t>2433.69</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cs="仿宋_GB2312"/>
          <w:color w:val="auto"/>
          <w:sz w:val="32"/>
          <w:szCs w:val="32"/>
          <w:lang w:val="en-US" w:eastAsia="zh-CN"/>
        </w:rPr>
        <w:t>的全年预算范围内</w:t>
      </w:r>
      <w:r>
        <w:rPr>
          <w:rFonts w:hint="eastAsia" w:ascii="仿宋_GB2312" w:hAnsi="仿宋_GB2312" w:eastAsia="仿宋_GB2312" w:cs="仿宋_GB2312"/>
          <w:color w:val="auto"/>
          <w:sz w:val="32"/>
          <w:szCs w:val="32"/>
        </w:rPr>
        <w:t>，</w:t>
      </w:r>
      <w:r>
        <w:rPr>
          <w:rFonts w:hint="eastAsia" w:cs="仿宋_GB2312"/>
          <w:color w:val="auto"/>
          <w:sz w:val="32"/>
          <w:szCs w:val="32"/>
          <w:lang w:val="en-US" w:eastAsia="zh-CN"/>
        </w:rPr>
        <w:t>资金使用合规高效</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cs="仿宋_GB2312"/>
          <w:b w:val="0"/>
          <w:bCs w:val="0"/>
          <w:color w:val="auto"/>
          <w:sz w:val="32"/>
          <w:szCs w:val="32"/>
          <w:lang w:val="en-US" w:eastAsia="zh-CN"/>
        </w:rPr>
        <w:t>主要原因是电影市场超预期增长，年初预估不准确，如</w:t>
      </w:r>
      <w:r>
        <w:rPr>
          <w:rFonts w:hint="eastAsia" w:ascii="仿宋_GB2312" w:hAnsi="仿宋_GB2312" w:eastAsia="仿宋_GB2312" w:cs="仿宋_GB2312"/>
          <w:b w:val="0"/>
          <w:bCs w:val="0"/>
          <w:color w:val="auto"/>
          <w:sz w:val="32"/>
          <w:szCs w:val="32"/>
        </w:rPr>
        <w:t>“人民院线”“艺术放映联盟”资助影院家数</w:t>
      </w:r>
      <w:r>
        <w:rPr>
          <w:rFonts w:hint="eastAsia" w:ascii="仿宋_GB2312" w:hAnsi="仿宋_GB2312" w:eastAsia="仿宋_GB2312" w:cs="仿宋_GB2312"/>
          <w:b w:val="0"/>
          <w:bCs w:val="0"/>
          <w:color w:val="auto"/>
          <w:sz w:val="32"/>
          <w:szCs w:val="32"/>
          <w:lang w:eastAsia="zh-CN"/>
        </w:rPr>
        <w:t>、补助乡镇和中西部地区县城新建的数字影院数量、奖励国产片放映成绩突出影院家数、少数民族自治州、自治县数字影院的运营和维护资助影院家数、国产影片票房收入占总票房收入比</w:t>
      </w:r>
      <w:r>
        <w:rPr>
          <w:rFonts w:hint="eastAsia" w:ascii="仿宋_GB2312" w:hAnsi="仿宋_GB2312" w:eastAsia="仿宋_GB2312" w:cs="仿宋_GB2312"/>
          <w:b w:val="0"/>
          <w:bCs w:val="0"/>
          <w:color w:val="auto"/>
          <w:kern w:val="2"/>
          <w:sz w:val="32"/>
          <w:szCs w:val="32"/>
          <w:lang w:val="en-US" w:eastAsia="zh-CN" w:bidi="ar-SA"/>
        </w:rPr>
        <w:t>等指标实际完成值和年初指标值存在偏差</w:t>
      </w:r>
      <w:r>
        <w:rPr>
          <w:rFonts w:hint="eastAsia" w:ascii="仿宋_GB2312" w:hAnsi="仿宋_GB2312" w:eastAsia="仿宋_GB2312" w:cs="仿宋_GB2312"/>
          <w:b w:val="0"/>
          <w:bCs w:val="0"/>
          <w:color w:val="auto"/>
          <w:sz w:val="32"/>
          <w:szCs w:val="32"/>
        </w:rPr>
        <w:t>。</w:t>
      </w:r>
      <w:r>
        <w:rPr>
          <w:rFonts w:hint="eastAsia" w:cs="仿宋_GB2312"/>
          <w:b w:val="0"/>
          <w:bCs w:val="0"/>
          <w:color w:val="auto"/>
          <w:sz w:val="32"/>
          <w:szCs w:val="32"/>
          <w:lang w:val="en-US" w:eastAsia="zh-CN"/>
        </w:rPr>
        <w:t>下一步，加强与中央、省级相关部门对接，综合市场数据精准测算预算，合理设定绩效目标；强化资金执行管控、提升拨付效率。</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九</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长征长城黄河公园建设及省级文化产业发展改革专项（含“八个一”文化亮点工程）</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长征长城黄河公园建设及省级文化产业发展改革专项年初预算数</w:t>
      </w:r>
      <w:r>
        <w:rPr>
          <w:rFonts w:hint="eastAsia" w:ascii="仿宋_GB2312" w:hAnsi="仿宋_GB2312" w:eastAsia="仿宋_GB2312" w:cs="仿宋_GB2312"/>
          <w:color w:val="auto"/>
          <w:sz w:val="32"/>
          <w:szCs w:val="32"/>
          <w:lang w:val="en-US" w:eastAsia="zh-CN"/>
        </w:rPr>
        <w:t>6000.2万元，</w:t>
      </w:r>
      <w:r>
        <w:rPr>
          <w:rFonts w:hint="eastAsia" w:ascii="仿宋_GB2312" w:hAnsi="仿宋_GB2312" w:eastAsia="仿宋_GB2312" w:cs="仿宋_GB2312"/>
          <w:color w:val="auto"/>
          <w:sz w:val="32"/>
          <w:szCs w:val="32"/>
        </w:rPr>
        <w:t>全年预算数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lang w:val="en-US" w:eastAsia="zh-CN"/>
        </w:rPr>
        <w:t>50.2</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4049.9</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99.99</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9.99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99.9</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1.长城国家文化公园重点扶持：纳入长城国家文化公园甘肃段“三园、三段、八点一线”空间布局，符合“四大功能区”“五大工程”建设需要，突出体现“万里长城”文化辨识度，项目选点具有一定代表性，可看性、可达性较强的长城资源，建设内容以文化建设为主，延伸至公共文化服务设施优化、环境整治、相关展览展示类项目。长征国家文化公园重点扶持：纳入“一线、两区、多节点”长征国家文化公园甘肃段空间</w:t>
      </w:r>
      <w:r>
        <w:rPr>
          <w:rFonts w:hint="eastAsia" w:cs="仿宋_GB2312"/>
          <w:color w:val="auto"/>
          <w:sz w:val="32"/>
          <w:szCs w:val="32"/>
          <w:lang w:val="en-US" w:eastAsia="zh-CN"/>
        </w:rPr>
        <w:t>布</w:t>
      </w:r>
      <w:r>
        <w:rPr>
          <w:rFonts w:hint="eastAsia" w:ascii="仿宋_GB2312" w:hAnsi="仿宋_GB2312" w:eastAsia="仿宋_GB2312" w:cs="仿宋_GB2312"/>
          <w:color w:val="auto"/>
          <w:sz w:val="32"/>
          <w:szCs w:val="32"/>
        </w:rPr>
        <w:t>局，符合“四大功能区”“六大工程”建设需要，突出“两万五千里长征”文化辨识度，展示弘扬长征精神，项目建设内容包括服务设施优化提升、导览标识系统建设、环境整治及相关展览展示类项目。黄河国家文化公园重点扶持：纳入“一带引领、五廊支撑、六区互动、多点协调”的空间布局，符合“四大功能区”“五大工程”建设需要，突出“九曲黄河”文化辨识度，建设内容聚焦黄河文化保护传承，兼顾文化旅游融合发展，包括相关展览展示、文化旅游设施优化提升及展示黄河文化内涵的文艺创作、对外传播类项目。2.一是培育扶持一批文旅融合、文化科技融合、社会效益和经济效益明显的文化企业。二是解决重点国有文化企业在深化改革、转型发展等方面的资金困难。三是进一步</w:t>
      </w:r>
      <w:r>
        <w:rPr>
          <w:rFonts w:hint="eastAsia" w:cs="仿宋_GB2312"/>
          <w:color w:val="auto"/>
          <w:sz w:val="32"/>
          <w:szCs w:val="32"/>
          <w:lang w:val="en-US" w:eastAsia="zh-CN"/>
        </w:rPr>
        <w:t>发挥</w:t>
      </w:r>
      <w:r>
        <w:rPr>
          <w:rFonts w:hint="eastAsia" w:ascii="仿宋_GB2312" w:hAnsi="仿宋_GB2312" w:eastAsia="仿宋_GB2312" w:cs="仿宋_GB2312"/>
          <w:color w:val="auto"/>
          <w:sz w:val="32"/>
          <w:szCs w:val="32"/>
        </w:rPr>
        <w:t>文化产业专项资金的杠杆作用，引导更多的金融资本进入我省文化产业。3.办好深圳文博会。</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实际完成情况：</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一、</w:t>
      </w:r>
      <w:r>
        <w:rPr>
          <w:rFonts w:hint="eastAsia" w:cs="仿宋_GB2312"/>
          <w:b w:val="0"/>
          <w:bCs w:val="0"/>
          <w:color w:val="auto"/>
          <w:kern w:val="2"/>
          <w:sz w:val="32"/>
          <w:szCs w:val="32"/>
          <w:lang w:val="en-US" w:eastAsia="zh-CN" w:bidi="ar-SA"/>
        </w:rPr>
        <w:t>国家文化</w:t>
      </w:r>
      <w:r>
        <w:rPr>
          <w:rFonts w:hint="eastAsia" w:ascii="仿宋_GB2312" w:hAnsi="仿宋_GB2312" w:eastAsia="仿宋_GB2312" w:cs="仿宋_GB2312"/>
          <w:b w:val="0"/>
          <w:bCs w:val="0"/>
          <w:color w:val="auto"/>
          <w:kern w:val="2"/>
          <w:sz w:val="32"/>
          <w:szCs w:val="32"/>
          <w:lang w:val="en-US" w:eastAsia="zh-CN" w:bidi="ar-SA"/>
        </w:rPr>
        <w:t>公园项目</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2025年国家文化公园项目共资助11个项目，其中：1.长城国家文化公园项目资助“长城文化与永泰城址展示利用项目”、“嘉峪关长城博物馆（新馆）展陈设计项目”等2个项目，均纳入长城国家文化公园甘肃段“三园、三段、八点一线”空间布局，符合“四大功能区”“五大工程”建设需要，突出体现“万里长城”文化辨识度，具有一定代表性，可看性、可达性较强，均属展览展示类项目。2.长征国家文化公园项目资助“静宁县界石铺红军长征毛泽东旧居纪念馆管理服务中心设施设备提升项目”“山城堡战役纪念园陈列馆维修项目”2个项目，均纳入“一线、两区、多节点”长征国家文化公园甘肃段空间</w:t>
      </w:r>
      <w:r>
        <w:rPr>
          <w:rFonts w:hint="eastAsia" w:cs="仿宋_GB2312"/>
          <w:b w:val="0"/>
          <w:bCs w:val="0"/>
          <w:color w:val="auto"/>
          <w:kern w:val="2"/>
          <w:sz w:val="32"/>
          <w:szCs w:val="32"/>
          <w:lang w:val="en-US" w:eastAsia="zh-CN" w:bidi="ar-SA"/>
        </w:rPr>
        <w:t>布</w:t>
      </w:r>
      <w:r>
        <w:rPr>
          <w:rFonts w:hint="eastAsia" w:ascii="仿宋_GB2312" w:hAnsi="仿宋_GB2312" w:eastAsia="仿宋_GB2312" w:cs="仿宋_GB2312"/>
          <w:b w:val="0"/>
          <w:bCs w:val="0"/>
          <w:color w:val="auto"/>
          <w:kern w:val="2"/>
          <w:sz w:val="32"/>
          <w:szCs w:val="32"/>
          <w:lang w:val="en-US" w:eastAsia="zh-CN" w:bidi="ar-SA"/>
        </w:rPr>
        <w:t>局，符合“四大功能区”“六大工程”建设需要，突出“两万五千里长征”文化辨识度，展示弘扬长征精神，属服务设施优化提升和展览展示类项目。3.黄河国家文化公园项目资助“黄河文化博物馆改造提升项目”“黄河国家文化公园（兰州段）建设保护规划编制项目”“黄河母亲广场环境提升改造项目”“什川镇古梨园核心景区环境整治项目”“彩陶艺术之巅峰—马家窑文化彩陶特展”项目等5个项目，均纳入“一带引领、五廊支撑、六区互动、多点协调”的空间布局，符合“四大功能区”“五大工程”建设需要，突出“九曲黄河”文化辨识度，建设内容聚焦黄河文化保护传承，兼顾文化旅游融合发展，属展览展示和文化旅游设施优化提升类项目。另外，兰州大学黄河国家文化公园研究院和西北师范大学长城长征国家文化公园建设发展研究中心文化教育项目各50万元，重点支持文化教育、学术论坛和调查研究等相关活动的组织和举办，并为全省长城长征黄河国家文化公园建设保护提供智库支撑。</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二、</w:t>
      </w:r>
      <w:r>
        <w:rPr>
          <w:rFonts w:hint="eastAsia" w:cs="仿宋_GB2312"/>
          <w:b w:val="0"/>
          <w:bCs w:val="0"/>
          <w:color w:val="auto"/>
          <w:kern w:val="2"/>
          <w:sz w:val="32"/>
          <w:szCs w:val="32"/>
          <w:lang w:val="en-US" w:eastAsia="zh-CN" w:bidi="ar-SA"/>
        </w:rPr>
        <w:t>文化产业</w:t>
      </w:r>
      <w:r>
        <w:rPr>
          <w:rFonts w:hint="eastAsia" w:ascii="仿宋_GB2312" w:hAnsi="仿宋_GB2312" w:eastAsia="仿宋_GB2312" w:cs="仿宋_GB2312"/>
          <w:b w:val="0"/>
          <w:bCs w:val="0"/>
          <w:color w:val="auto"/>
          <w:kern w:val="2"/>
          <w:sz w:val="32"/>
          <w:szCs w:val="32"/>
          <w:lang w:val="en-US" w:eastAsia="zh-CN" w:bidi="ar-SA"/>
        </w:rPr>
        <w:t>项目</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kern w:val="2"/>
          <w:sz w:val="32"/>
          <w:szCs w:val="32"/>
          <w:lang w:val="en-US" w:eastAsia="zh-CN" w:bidi="ar-SA"/>
        </w:rPr>
        <w:t>1.2025年省级文化产业发展专项资助项目共20个，资助金额3640万元。其中，补助项目16个，金额2770万元；贴息项目2个，金额350万元；“八个一”文化品牌建设项目2个，金额520万元。项目涵盖非遗文创产品研发、文化新业态和文化消费新场景打造、文化数字化等重点方面。2.第二十一届中国（深圳）国际文化产业博览交易会场馆搭建和布展项目费用359.99万元，全部完成支付。深圳文博会于2025年5月22日至26日在深圳国际会展中心举办，我省组织36家企事业单位，携带1.06万件（套）文化产品和服务项目等参展。</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8</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年度</w:t>
      </w:r>
      <w:r>
        <w:rPr>
          <w:rFonts w:hint="eastAsia" w:ascii="仿宋_GB2312" w:hAnsi="仿宋_GB2312" w:eastAsia="仿宋_GB2312" w:cs="仿宋_GB2312"/>
          <w:color w:val="auto"/>
          <w:sz w:val="32"/>
          <w:szCs w:val="32"/>
          <w:lang w:eastAsia="zh-CN" w:bidi="ar"/>
        </w:rPr>
        <w:t>资助文化产业项目</w:t>
      </w:r>
      <w:r>
        <w:rPr>
          <w:rFonts w:hint="eastAsia" w:ascii="仿宋_GB2312" w:hAnsi="仿宋_GB2312" w:eastAsia="仿宋_GB2312" w:cs="仿宋_GB2312"/>
          <w:color w:val="auto"/>
          <w:sz w:val="32"/>
          <w:szCs w:val="32"/>
          <w:lang w:val="en-US" w:eastAsia="zh-CN" w:bidi="ar"/>
        </w:rPr>
        <w:t>20个，资助公园项目11个。</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15</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75</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年度受资助方项目政策符合度</w:t>
      </w:r>
      <w:r>
        <w:rPr>
          <w:rFonts w:hint="eastAsia" w:ascii="仿宋_GB2312" w:hAnsi="仿宋_GB2312" w:eastAsia="仿宋_GB2312" w:cs="仿宋_GB2312"/>
          <w:color w:val="auto"/>
          <w:sz w:val="32"/>
          <w:szCs w:val="32"/>
          <w:lang w:eastAsia="zh-CN"/>
        </w:rPr>
        <w:t>指标</w:t>
      </w:r>
      <w:r>
        <w:rPr>
          <w:rFonts w:hint="eastAsia" w:ascii="仿宋_GB2312" w:hAnsi="仿宋_GB2312" w:eastAsia="仿宋_GB2312" w:cs="仿宋_GB2312"/>
          <w:color w:val="auto"/>
          <w:sz w:val="32"/>
          <w:szCs w:val="32"/>
        </w:rPr>
        <w:t>达到100%。指标分值合计</w:t>
      </w:r>
      <w:r>
        <w:rPr>
          <w:rFonts w:hint="eastAsia" w:ascii="仿宋_GB2312" w:hAnsi="仿宋_GB2312" w:eastAsia="仿宋_GB2312" w:cs="仿宋_GB2312"/>
          <w:color w:val="auto"/>
          <w:sz w:val="32"/>
          <w:szCs w:val="32"/>
          <w:lang w:val="en-US" w:eastAsia="zh-CN"/>
        </w:rPr>
        <w:t>10分</w:t>
      </w:r>
      <w:r>
        <w:rPr>
          <w:rFonts w:hint="eastAsia" w:ascii="仿宋_GB2312" w:hAnsi="仿宋_GB2312" w:eastAsia="仿宋_GB2312" w:cs="仿宋_GB2312"/>
          <w:color w:val="auto"/>
          <w:sz w:val="32"/>
          <w:szCs w:val="32"/>
        </w:rPr>
        <w:t>，按评分标准得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年度文化公园建设风貌提升项目</w:t>
      </w:r>
      <w:r>
        <w:rPr>
          <w:rFonts w:hint="eastAsia" w:ascii="仿宋_GB2312" w:hAnsi="仿宋_GB2312" w:eastAsia="仿宋_GB2312" w:cs="仿宋_GB2312"/>
          <w:color w:val="auto"/>
          <w:sz w:val="32"/>
          <w:szCs w:val="32"/>
          <w:lang w:eastAsia="zh-CN"/>
        </w:rPr>
        <w:t>按时完成</w:t>
      </w:r>
      <w:r>
        <w:rPr>
          <w:rFonts w:hint="eastAsia" w:ascii="仿宋_GB2312" w:hAnsi="仿宋_GB2312" w:eastAsia="仿宋_GB2312" w:cs="仿宋_GB2312"/>
          <w:color w:val="auto"/>
          <w:sz w:val="32"/>
          <w:szCs w:val="32"/>
        </w:rPr>
        <w:t>，资助资金发放及时，保障了各项工作的顺利开展。指标分值合计</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个三级指标</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pStyle w:val="1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color w:val="auto"/>
          <w:sz w:val="32"/>
          <w:szCs w:val="32"/>
          <w:lang w:bidi="ar"/>
        </w:rPr>
        <w:t>通过专项资金的持续投入，国家文化公园辨识度</w:t>
      </w:r>
      <w:r>
        <w:rPr>
          <w:rFonts w:hint="eastAsia" w:ascii="仿宋_GB2312" w:hAnsi="仿宋_GB2312" w:eastAsia="仿宋_GB2312" w:cs="仿宋_GB2312"/>
          <w:color w:val="auto"/>
          <w:sz w:val="32"/>
          <w:szCs w:val="32"/>
          <w:lang w:val="en-US" w:eastAsia="zh-CN" w:bidi="ar"/>
        </w:rPr>
        <w:t>不断提高、</w:t>
      </w:r>
      <w:r>
        <w:rPr>
          <w:rFonts w:hint="eastAsia" w:ascii="仿宋_GB2312" w:hAnsi="仿宋_GB2312" w:eastAsia="仿宋_GB2312" w:cs="仿宋_GB2312"/>
          <w:color w:val="auto"/>
          <w:sz w:val="32"/>
          <w:szCs w:val="32"/>
          <w:lang w:bidi="ar"/>
        </w:rPr>
        <w:t>文旅融合发展</w:t>
      </w:r>
      <w:r>
        <w:rPr>
          <w:rFonts w:hint="eastAsia" w:ascii="仿宋_GB2312" w:hAnsi="仿宋_GB2312" w:eastAsia="仿宋_GB2312" w:cs="仿宋_GB2312"/>
          <w:color w:val="auto"/>
          <w:sz w:val="32"/>
          <w:szCs w:val="32"/>
          <w:lang w:val="en-US" w:eastAsia="zh-CN" w:bidi="ar"/>
        </w:rPr>
        <w:t>不断推动、</w:t>
      </w:r>
      <w:r>
        <w:rPr>
          <w:rFonts w:hint="eastAsia" w:ascii="仿宋_GB2312" w:hAnsi="仿宋_GB2312" w:eastAsia="仿宋_GB2312" w:cs="仿宋_GB2312"/>
          <w:color w:val="auto"/>
          <w:sz w:val="32"/>
          <w:szCs w:val="32"/>
          <w:lang w:bidi="ar"/>
        </w:rPr>
        <w:t>中华优秀传统文化传承弘扬</w:t>
      </w:r>
      <w:r>
        <w:rPr>
          <w:rFonts w:hint="eastAsia" w:ascii="仿宋_GB2312" w:hAnsi="仿宋_GB2312" w:eastAsia="仿宋_GB2312" w:cs="仿宋_GB2312"/>
          <w:color w:val="auto"/>
          <w:sz w:val="32"/>
          <w:szCs w:val="32"/>
          <w:lang w:val="en-US" w:eastAsia="zh-CN" w:bidi="ar"/>
        </w:rPr>
        <w:t>不断推动</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促进了甘肃省</w:t>
      </w:r>
      <w:r>
        <w:rPr>
          <w:rFonts w:hint="eastAsia" w:cs="仿宋_GB2312"/>
          <w:color w:val="auto"/>
          <w:sz w:val="32"/>
          <w:szCs w:val="32"/>
          <w:lang w:val="en-US" w:eastAsia="zh-CN" w:bidi="ar"/>
        </w:rPr>
        <w:t>文化事业</w:t>
      </w:r>
      <w:r>
        <w:rPr>
          <w:rFonts w:hint="eastAsia" w:ascii="仿宋_GB2312" w:hAnsi="仿宋_GB2312" w:eastAsia="仿宋_GB2312" w:cs="仿宋_GB2312"/>
          <w:color w:val="auto"/>
          <w:sz w:val="32"/>
          <w:szCs w:val="32"/>
          <w:lang w:bidi="ar"/>
        </w:rPr>
        <w:t>文化产业繁荣发展。指标分值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19</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95</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该项目的实施，群众对成果质量</w:t>
      </w:r>
      <w:r>
        <w:rPr>
          <w:rFonts w:hint="eastAsia" w:ascii="仿宋_GB2312" w:hAnsi="仿宋_GB2312" w:eastAsia="仿宋_GB2312" w:cs="仿宋_GB2312"/>
          <w:color w:val="auto"/>
          <w:sz w:val="32"/>
          <w:szCs w:val="32"/>
          <w:lang w:eastAsia="zh-CN"/>
        </w:rPr>
        <w:t>认可，</w:t>
      </w:r>
      <w:r>
        <w:rPr>
          <w:rFonts w:hint="eastAsia" w:ascii="仿宋_GB2312" w:hAnsi="仿宋_GB2312" w:eastAsia="仿宋_GB2312" w:cs="仿宋_GB2312"/>
          <w:color w:val="auto"/>
          <w:sz w:val="32"/>
          <w:szCs w:val="32"/>
        </w:rPr>
        <w:t>服务对象综合满意度较高，项目实施期间未收到任何投诉意见，参观人员肯定了甘肃展馆和各文化公园的质量，受补助文化产业项目负责人</w:t>
      </w:r>
      <w:r>
        <w:rPr>
          <w:rFonts w:hint="eastAsia" w:ascii="仿宋_GB2312" w:hAnsi="仿宋_GB2312" w:eastAsia="仿宋_GB2312" w:cs="仿宋_GB2312"/>
          <w:color w:val="auto"/>
          <w:sz w:val="32"/>
          <w:szCs w:val="32"/>
          <w:lang w:eastAsia="zh-CN"/>
        </w:rPr>
        <w:t>也较满意，</w:t>
      </w:r>
      <w:r>
        <w:rPr>
          <w:rFonts w:hint="eastAsia" w:ascii="仿宋_GB2312" w:hAnsi="仿宋_GB2312" w:eastAsia="仿宋_GB2312" w:cs="仿宋_GB2312"/>
          <w:color w:val="auto"/>
          <w:sz w:val="32"/>
          <w:szCs w:val="32"/>
        </w:rPr>
        <w:t>该项指标达到了预期目标值。满意度指标分值10分，按评分标准得10分，得分率100%。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4050.2</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ascii="仿宋_GB2312" w:hAnsi="仿宋_GB2312" w:eastAsia="仿宋_GB2312" w:cs="仿宋_GB2312"/>
          <w:color w:val="auto"/>
          <w:sz w:val="32"/>
          <w:szCs w:val="32"/>
          <w:lang w:val="en-US" w:eastAsia="zh-CN"/>
        </w:rPr>
        <w:t>主要原因是</w:t>
      </w:r>
      <w:r>
        <w:rPr>
          <w:rFonts w:hint="eastAsia" w:cs="仿宋_GB2312"/>
          <w:color w:val="auto"/>
          <w:sz w:val="32"/>
          <w:szCs w:val="32"/>
          <w:lang w:val="en-US" w:eastAsia="zh-CN"/>
        </w:rPr>
        <w:t>部分指标年初</w:t>
      </w:r>
      <w:r>
        <w:rPr>
          <w:rFonts w:hint="eastAsia" w:ascii="仿宋_GB2312" w:hAnsi="仿宋_GB2312" w:eastAsia="仿宋_GB2312" w:cs="仿宋_GB2312"/>
          <w:color w:val="auto"/>
          <w:sz w:val="32"/>
          <w:szCs w:val="32"/>
          <w:lang w:val="en-US" w:eastAsia="zh-CN"/>
        </w:rPr>
        <w:t>目标设置</w:t>
      </w:r>
      <w:r>
        <w:rPr>
          <w:rFonts w:hint="eastAsia" w:cs="仿宋_GB2312"/>
          <w:color w:val="auto"/>
          <w:sz w:val="32"/>
          <w:szCs w:val="32"/>
          <w:lang w:val="en-US" w:eastAsia="zh-CN"/>
        </w:rPr>
        <w:t>偏保守</w:t>
      </w:r>
      <w:r>
        <w:rPr>
          <w:rFonts w:hint="eastAsia" w:ascii="仿宋_GB2312" w:hAnsi="仿宋_GB2312" w:eastAsia="仿宋_GB2312" w:cs="仿宋_GB2312"/>
          <w:color w:val="auto"/>
          <w:sz w:val="32"/>
          <w:szCs w:val="32"/>
          <w:lang w:val="en-US" w:eastAsia="zh-CN"/>
        </w:rPr>
        <w:t>，如</w:t>
      </w:r>
      <w:r>
        <w:rPr>
          <w:rFonts w:hint="eastAsia" w:ascii="仿宋_GB2312" w:hAnsi="仿宋_GB2312" w:eastAsia="仿宋_GB2312" w:cs="仿宋_GB2312"/>
          <w:b w:val="0"/>
          <w:bCs w:val="0"/>
          <w:color w:val="auto"/>
          <w:sz w:val="32"/>
          <w:szCs w:val="32"/>
        </w:rPr>
        <w:t>资助文化产业项目数</w:t>
      </w:r>
      <w:r>
        <w:rPr>
          <w:rFonts w:hint="eastAsia" w:ascii="仿宋_GB2312" w:hAnsi="仿宋_GB2312" w:eastAsia="仿宋_GB2312" w:cs="仿宋_GB2312"/>
          <w:color w:val="auto"/>
          <w:sz w:val="32"/>
          <w:szCs w:val="32"/>
          <w:lang w:val="en-US" w:eastAsia="zh-CN"/>
        </w:rPr>
        <w:t>等指标的实际完成情况远超预期目标。下一步，我部将加强项目</w:t>
      </w:r>
      <w:r>
        <w:rPr>
          <w:rFonts w:hint="eastAsia" w:cs="仿宋_GB2312"/>
          <w:color w:val="auto"/>
          <w:sz w:val="32"/>
          <w:szCs w:val="32"/>
          <w:lang w:val="en-US" w:eastAsia="zh-CN"/>
        </w:rPr>
        <w:t>前期论证</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深入调研文化产业需求，</w:t>
      </w:r>
      <w:r>
        <w:rPr>
          <w:rFonts w:hint="eastAsia" w:ascii="仿宋_GB2312" w:hAnsi="仿宋_GB2312" w:eastAsia="仿宋_GB2312" w:cs="仿宋_GB2312"/>
          <w:color w:val="auto"/>
          <w:sz w:val="32"/>
          <w:szCs w:val="32"/>
          <w:lang w:val="en-US" w:eastAsia="zh-CN"/>
        </w:rPr>
        <w:t>合理设定绩效目标，</w:t>
      </w:r>
      <w:r>
        <w:rPr>
          <w:rFonts w:hint="eastAsia" w:cs="仿宋_GB2312"/>
          <w:color w:val="auto"/>
          <w:sz w:val="32"/>
          <w:szCs w:val="32"/>
          <w:lang w:val="en-US" w:eastAsia="zh-CN"/>
        </w:rPr>
        <w:t>提升项目管理与资金使用效益</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（十）项目10</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kern w:val="2"/>
          <w:sz w:val="32"/>
          <w:szCs w:val="32"/>
          <w:lang w:val="en-US" w:eastAsia="zh-CN" w:bidi="ar-SA"/>
        </w:rPr>
        <w:t>公共文化服务建设体系建设专项（农家书屋）</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公共文化服务建设体系建设专项（农家书屋）项目年初预算数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2015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全年预算数为</w:t>
      </w:r>
      <w:r>
        <w:rPr>
          <w:rFonts w:hint="eastAsia" w:ascii="仿宋_GB2312" w:hAnsi="仿宋_GB2312" w:eastAsia="仿宋_GB2312" w:cs="仿宋_GB2312"/>
          <w:color w:val="auto"/>
          <w:sz w:val="32"/>
          <w:szCs w:val="32"/>
          <w:lang w:val="en-US" w:eastAsia="zh-CN"/>
        </w:rPr>
        <w:t>2015万元，</w:t>
      </w:r>
      <w:r>
        <w:rPr>
          <w:rFonts w:hint="eastAsia" w:ascii="仿宋_GB2312" w:hAnsi="仿宋_GB2312" w:eastAsia="仿宋_GB2312" w:cs="仿宋_GB2312"/>
          <w:color w:val="auto"/>
          <w:sz w:val="32"/>
          <w:szCs w:val="32"/>
        </w:rPr>
        <w:t>全年支出数</w:t>
      </w:r>
      <w:r>
        <w:rPr>
          <w:rFonts w:hint="eastAsia" w:ascii="仿宋_GB2312" w:hAnsi="仿宋_GB2312" w:eastAsia="仿宋_GB2312" w:cs="仿宋_GB2312"/>
          <w:color w:val="auto"/>
          <w:sz w:val="32"/>
          <w:szCs w:val="32"/>
          <w:lang w:val="en-US" w:eastAsia="zh-CN"/>
        </w:rPr>
        <w:t>2000</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99.25</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9.92</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99.2</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94.36</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一是为全省16375家农家书屋补充更新出版物35万册左右、报刊4种以上，并免费提供借阅服务，满足农民群众阅读需求，丰富其精神文化生活。二是为全省6263家农村幼儿园“小书架”补充更新绘本20万册以上，有效满足全省农村幼儿园儿童阅读需求。三是为数字农家书屋“百草园”公共文化服务平台补充更新共约40万集（册）电子书、有声图书、学生辅导视频等数字资源，并免费提供数字阅读服务，更好满足农民群众数字阅读需求。</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实际完成情况：</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是为全省16110家农家书屋差异化补充出版物174种共343404册、报刊4种共10000份并免费提供借阅服务，满足农民群众阅读需求，丰富其精神文化生活。二是为全省5856家农村幼儿园“小书架”补充绘本35种共204960册，有效满足全省农村幼儿园儿童阅读需求。三是为数字农家书屋“百草园”公共文化服务平台补充电子书1.6万册、有声读物2.5万集、小学生学习辅导视频2298集、科普视频1079部、秦腔视频111部，有效满足群众数字阅读需求。</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9</w:t>
      </w:r>
      <w:r>
        <w:rPr>
          <w:rFonts w:hint="eastAsia" w:ascii="仿宋_GB2312" w:hAnsi="仿宋_GB2312" w:eastAsia="仿宋_GB2312" w:cs="仿宋_GB2312"/>
          <w:color w:val="auto"/>
          <w:sz w:val="32"/>
          <w:szCs w:val="32"/>
          <w:lang w:bidi="ar"/>
        </w:rPr>
        <w:t>个三级指标</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37.43</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93.58</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年度，为全省14个市州和兰州新区的</w:t>
      </w:r>
      <w:r>
        <w:rPr>
          <w:rFonts w:hint="eastAsia" w:ascii="仿宋_GB2312" w:hAnsi="仿宋_GB2312" w:eastAsia="仿宋_GB2312" w:cs="仿宋_GB2312"/>
          <w:color w:val="auto"/>
          <w:sz w:val="32"/>
          <w:szCs w:val="32"/>
          <w:lang w:val="en-US" w:eastAsia="zh-CN" w:bidi="ar"/>
        </w:rPr>
        <w:t>16110</w:t>
      </w:r>
      <w:r>
        <w:rPr>
          <w:rFonts w:hint="eastAsia" w:ascii="仿宋_GB2312" w:hAnsi="仿宋_GB2312" w:eastAsia="仿宋_GB2312" w:cs="仿宋_GB2312"/>
          <w:color w:val="auto"/>
          <w:sz w:val="32"/>
          <w:szCs w:val="32"/>
          <w:lang w:bidi="ar"/>
        </w:rPr>
        <w:t>家农家书屋、</w:t>
      </w:r>
      <w:r>
        <w:rPr>
          <w:rFonts w:hint="eastAsia" w:ascii="仿宋_GB2312" w:hAnsi="仿宋_GB2312" w:eastAsia="仿宋_GB2312" w:cs="仿宋_GB2312"/>
          <w:color w:val="auto"/>
          <w:sz w:val="32"/>
          <w:szCs w:val="32"/>
          <w:lang w:val="en-US" w:eastAsia="zh-CN" w:bidi="ar"/>
        </w:rPr>
        <w:t>5856</w:t>
      </w:r>
      <w:r>
        <w:rPr>
          <w:rFonts w:hint="eastAsia" w:ascii="仿宋_GB2312" w:hAnsi="仿宋_GB2312" w:eastAsia="仿宋_GB2312" w:cs="仿宋_GB2312"/>
          <w:color w:val="auto"/>
          <w:sz w:val="32"/>
          <w:szCs w:val="32"/>
          <w:lang w:bidi="ar"/>
        </w:rPr>
        <w:t>家农村幼儿园补充更新了出版物，农村幼儿园“小书架”补充更新绘本册数</w:t>
      </w:r>
      <w:r>
        <w:rPr>
          <w:rFonts w:hint="eastAsia" w:ascii="仿宋_GB2312" w:hAnsi="仿宋_GB2312" w:eastAsia="仿宋_GB2312" w:cs="仿宋_GB2312"/>
          <w:color w:val="auto"/>
          <w:sz w:val="32"/>
          <w:szCs w:val="32"/>
          <w:lang w:val="en-US" w:eastAsia="zh-CN" w:bidi="ar"/>
        </w:rPr>
        <w:t>20.49万册，农家书屋补充更新图书册数册34.34万册</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17.76</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16.69</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93.98</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我省严格依据政府采购有关法规要求，委托省公共资源交易局公开招标，购买农家书屋中有需要的出版物，补充更新的出版物</w:t>
      </w:r>
      <w:r>
        <w:rPr>
          <w:rFonts w:hint="eastAsia" w:ascii="仿宋_GB2312" w:hAnsi="仿宋_GB2312" w:eastAsia="仿宋_GB2312" w:cs="仿宋_GB2312"/>
          <w:color w:val="auto"/>
          <w:sz w:val="32"/>
          <w:szCs w:val="32"/>
          <w:lang w:eastAsia="zh-CN"/>
        </w:rPr>
        <w:t>印刷质量优良且</w:t>
      </w:r>
      <w:r>
        <w:rPr>
          <w:rFonts w:hint="eastAsia" w:ascii="仿宋_GB2312" w:hAnsi="仿宋_GB2312" w:eastAsia="仿宋_GB2312" w:cs="仿宋_GB2312"/>
          <w:color w:val="auto"/>
          <w:sz w:val="32"/>
          <w:szCs w:val="32"/>
        </w:rPr>
        <w:t>均为正版</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8.88</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8.44</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95.05</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年全省农家书屋出版物</w:t>
      </w:r>
      <w:r>
        <w:rPr>
          <w:rFonts w:hint="eastAsia" w:ascii="仿宋_GB2312" w:hAnsi="仿宋_GB2312" w:eastAsia="仿宋_GB2312" w:cs="仿宋_GB2312"/>
          <w:color w:val="auto"/>
          <w:sz w:val="32"/>
          <w:szCs w:val="32"/>
          <w:lang w:eastAsia="zh-CN"/>
        </w:rPr>
        <w:t>配备、农村幼儿园“小书架”绘本配备和出版物补充更新工作验收均及时完成</w:t>
      </w:r>
      <w:r>
        <w:rPr>
          <w:rFonts w:hint="eastAsia" w:ascii="仿宋_GB2312" w:hAnsi="仿宋_GB2312" w:eastAsia="仿宋_GB2312" w:cs="仿宋_GB2312"/>
          <w:color w:val="auto"/>
          <w:sz w:val="32"/>
          <w:szCs w:val="32"/>
        </w:rPr>
        <w:t>，达到了目标值。指标分值合计</w:t>
      </w:r>
      <w:r>
        <w:rPr>
          <w:rFonts w:hint="eastAsia" w:ascii="仿宋_GB2312" w:hAnsi="仿宋_GB2312" w:eastAsia="仿宋_GB2312" w:cs="仿宋_GB2312"/>
          <w:color w:val="auto"/>
          <w:sz w:val="32"/>
          <w:szCs w:val="32"/>
          <w:lang w:val="en-US" w:eastAsia="zh-CN"/>
        </w:rPr>
        <w:t>13.36</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12.03</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90.04</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color w:val="auto"/>
          <w:sz w:val="32"/>
          <w:szCs w:val="32"/>
          <w:lang w:bidi="ar"/>
        </w:rPr>
        <w:t>农家书屋工程在弘扬社会主义先进文化，丰富广大农民群众精神文化生活，助推乡村振兴，推进城乡公共文化服务标准化均等化等方面发挥了不可替代的重要作用，提升了农民群众文化素养水平，为</w:t>
      </w:r>
      <w:r>
        <w:rPr>
          <w:rFonts w:hint="eastAsia" w:cs="仿宋_GB2312"/>
          <w:color w:val="auto"/>
          <w:sz w:val="32"/>
          <w:szCs w:val="32"/>
          <w:lang w:val="en-US" w:eastAsia="zh-CN" w:bidi="ar"/>
        </w:rPr>
        <w:t>乡村振兴</w:t>
      </w:r>
      <w:r>
        <w:rPr>
          <w:rFonts w:hint="eastAsia" w:ascii="仿宋_GB2312" w:hAnsi="仿宋_GB2312" w:eastAsia="仿宋_GB2312" w:cs="仿宋_GB2312"/>
          <w:color w:val="auto"/>
          <w:sz w:val="32"/>
          <w:szCs w:val="32"/>
          <w:lang w:bidi="ar"/>
        </w:rPr>
        <w:t>提供智力支撑，社会效益指标均达到目标值。社会效益指标分值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w:t>
      </w:r>
      <w:r>
        <w:rPr>
          <w:rFonts w:hint="eastAsia" w:ascii="仿宋_GB2312" w:hAnsi="仿宋_GB2312" w:eastAsia="仿宋_GB2312" w:cs="仿宋_GB2312"/>
          <w:color w:val="auto"/>
          <w:sz w:val="32"/>
          <w:szCs w:val="32"/>
          <w:lang w:val="en-US" w:eastAsia="zh-CN" w:bidi="ar"/>
        </w:rPr>
        <w:t>95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该项目在促进农民读书、培养阅读习惯，推进城乡公共文化服务标准化均等化，丰富广大农民群众精神文化生活方面取得了一定的成绩，群众满意度为</w:t>
      </w:r>
      <w:r>
        <w:rPr>
          <w:rFonts w:hint="eastAsia" w:ascii="仿宋_GB2312" w:hAnsi="仿宋_GB2312" w:eastAsia="仿宋_GB2312" w:cs="仿宋_GB2312"/>
          <w:color w:val="auto"/>
          <w:sz w:val="32"/>
          <w:szCs w:val="32"/>
          <w:lang w:val="en-US" w:eastAsia="zh-CN"/>
        </w:rPr>
        <w:t>95</w:t>
      </w:r>
      <w:r>
        <w:rPr>
          <w:rFonts w:hint="eastAsia" w:ascii="仿宋_GB2312" w:hAnsi="仿宋_GB2312" w:eastAsia="仿宋_GB2312" w:cs="仿宋_GB2312"/>
          <w:color w:val="auto"/>
          <w:sz w:val="32"/>
          <w:szCs w:val="32"/>
        </w:rPr>
        <w:t>%，达到了预期目标值。满意度指标分值10分，按评分标准得10分，得分率100%。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2个三级指标，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19</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w:t>
      </w:r>
      <w:r>
        <w:rPr>
          <w:rFonts w:hint="eastAsia" w:ascii="仿宋_GB2312" w:hAnsi="仿宋_GB2312" w:eastAsia="仿宋_GB2312" w:cs="仿宋_GB2312"/>
          <w:color w:val="auto"/>
          <w:sz w:val="32"/>
          <w:szCs w:val="32"/>
          <w:lang w:eastAsia="zh-CN"/>
        </w:rPr>
        <w:t>当年资金实际支出</w:t>
      </w:r>
      <w:r>
        <w:rPr>
          <w:rFonts w:hint="eastAsia" w:ascii="仿宋_GB2312" w:hAnsi="仿宋_GB2312" w:eastAsia="仿宋_GB2312" w:cs="仿宋_GB2312"/>
          <w:color w:val="auto"/>
          <w:sz w:val="32"/>
          <w:szCs w:val="32"/>
          <w:lang w:val="en-US" w:eastAsia="zh-CN"/>
        </w:rPr>
        <w:t>2000万元</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95</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4.偏离绩效目标的原因及下一步改进措施</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补充“小书架”出版物的农村幼儿园数量</w:t>
      </w:r>
      <w:r>
        <w:rPr>
          <w:rFonts w:hint="eastAsia" w:ascii="仿宋_GB2312" w:hAnsi="仿宋_GB2312" w:eastAsia="仿宋_GB2312" w:cs="仿宋_GB2312"/>
          <w:b w:val="0"/>
          <w:bCs w:val="0"/>
          <w:color w:val="auto"/>
          <w:kern w:val="2"/>
          <w:sz w:val="32"/>
          <w:szCs w:val="32"/>
          <w:lang w:val="en-US" w:eastAsia="zh-CN" w:bidi="ar-SA"/>
        </w:rPr>
        <w:t>等指标实际完成值和年初指标值存在偏差，主要原因是</w:t>
      </w: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年度，省内部分农村幼儿园“小书架”停办，导致实际补充数量少于年初目标值</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6</w:t>
      </w:r>
      <w:r>
        <w:rPr>
          <w:rFonts w:hint="eastAsia" w:ascii="仿宋_GB2312" w:hAnsi="仿宋_GB2312" w:eastAsia="仿宋_GB2312" w:cs="仿宋_GB2312"/>
          <w:b w:val="0"/>
          <w:bCs w:val="0"/>
          <w:color w:val="auto"/>
          <w:sz w:val="32"/>
          <w:szCs w:val="32"/>
        </w:rPr>
        <w:t>年，我部将进一步摸清我省农村幼儿园“小书架”底数，准确设置年初目标值。</w:t>
      </w:r>
    </w:p>
    <w:p>
      <w:pPr>
        <w:pStyle w:val="2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eastAsia="zh-CN"/>
        </w:rPr>
        <w:t>补充更新出版物的农家书屋数量</w:t>
      </w:r>
      <w:r>
        <w:rPr>
          <w:rFonts w:hint="eastAsia" w:ascii="仿宋_GB2312" w:hAnsi="仿宋_GB2312" w:eastAsia="仿宋_GB2312" w:cs="仿宋_GB2312"/>
          <w:b w:val="0"/>
          <w:bCs w:val="0"/>
          <w:color w:val="auto"/>
          <w:kern w:val="2"/>
          <w:sz w:val="32"/>
          <w:szCs w:val="32"/>
          <w:lang w:val="en-US" w:eastAsia="zh-CN" w:bidi="ar-SA"/>
        </w:rPr>
        <w:t>指标实际完成值和年初指标值存在偏差，主要原因是</w:t>
      </w: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年度，部分市州</w:t>
      </w:r>
      <w:r>
        <w:rPr>
          <w:rFonts w:hint="eastAsia" w:ascii="仿宋_GB2312" w:hAnsi="仿宋_GB2312" w:eastAsia="仿宋_GB2312" w:cs="仿宋_GB2312"/>
          <w:b w:val="0"/>
          <w:bCs w:val="0"/>
          <w:color w:val="auto"/>
          <w:sz w:val="32"/>
          <w:szCs w:val="32"/>
          <w:lang w:val="en-US" w:eastAsia="zh-CN"/>
        </w:rPr>
        <w:t>行政村裁撤合并</w:t>
      </w:r>
      <w:r>
        <w:rPr>
          <w:rFonts w:hint="eastAsia" w:ascii="仿宋_GB2312" w:hAnsi="仿宋_GB2312" w:eastAsia="仿宋_GB2312" w:cs="仿宋_GB2312"/>
          <w:b w:val="0"/>
          <w:bCs w:val="0"/>
          <w:color w:val="auto"/>
          <w:sz w:val="32"/>
          <w:szCs w:val="32"/>
        </w:rPr>
        <w:t>，导致实际补充更新农家书屋数量</w:t>
      </w:r>
      <w:r>
        <w:rPr>
          <w:rFonts w:hint="eastAsia" w:ascii="仿宋_GB2312" w:hAnsi="仿宋_GB2312" w:eastAsia="仿宋_GB2312" w:cs="仿宋_GB2312"/>
          <w:b w:val="0"/>
          <w:bCs w:val="0"/>
          <w:color w:val="auto"/>
          <w:sz w:val="32"/>
          <w:szCs w:val="32"/>
          <w:lang w:val="en-US" w:eastAsia="zh-CN"/>
        </w:rPr>
        <w:t>小</w:t>
      </w:r>
      <w:r>
        <w:rPr>
          <w:rFonts w:hint="eastAsia" w:ascii="仿宋_GB2312" w:hAnsi="仿宋_GB2312" w:eastAsia="仿宋_GB2312" w:cs="仿宋_GB2312"/>
          <w:b w:val="0"/>
          <w:bCs w:val="0"/>
          <w:color w:val="auto"/>
          <w:sz w:val="32"/>
          <w:szCs w:val="32"/>
        </w:rPr>
        <w:t>于年初目标值</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6</w:t>
      </w:r>
      <w:r>
        <w:rPr>
          <w:rFonts w:hint="eastAsia" w:ascii="仿宋_GB2312" w:hAnsi="仿宋_GB2312" w:eastAsia="仿宋_GB2312" w:cs="仿宋_GB2312"/>
          <w:b w:val="0"/>
          <w:bCs w:val="0"/>
          <w:color w:val="auto"/>
          <w:sz w:val="32"/>
          <w:szCs w:val="32"/>
        </w:rPr>
        <w:t>年，我部将进一步摸清我省农家书屋底数，准确设置年初目标值。</w:t>
      </w:r>
    </w:p>
    <w:p>
      <w:pPr>
        <w:pStyle w:val="2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eastAsia="zh-CN"/>
        </w:rPr>
        <w:t>农家书屋补充更新图书册数、农村幼儿园“小书架”补充更新绘本册数</w:t>
      </w:r>
      <w:r>
        <w:rPr>
          <w:rFonts w:hint="eastAsia" w:ascii="仿宋_GB2312" w:hAnsi="仿宋_GB2312" w:eastAsia="仿宋_GB2312" w:cs="仿宋_GB2312"/>
          <w:b w:val="0"/>
          <w:bCs w:val="0"/>
          <w:color w:val="auto"/>
          <w:kern w:val="2"/>
          <w:sz w:val="32"/>
          <w:szCs w:val="32"/>
          <w:lang w:val="en-US" w:eastAsia="zh-CN" w:bidi="ar-SA"/>
        </w:rPr>
        <w:t>等指标实际完成值和年初指标值存在偏差，主要原因是</w:t>
      </w:r>
      <w:r>
        <w:rPr>
          <w:rFonts w:hint="eastAsia" w:ascii="仿宋_GB2312" w:hAnsi="仿宋_GB2312" w:eastAsia="仿宋_GB2312" w:cs="仿宋_GB2312"/>
          <w:color w:val="auto"/>
          <w:sz w:val="32"/>
          <w:szCs w:val="32"/>
          <w:lang w:val="en-US" w:eastAsia="zh-CN"/>
        </w:rPr>
        <w:t>优选精品绘本，实际完成值小于年初目标值。2026年，我部将结合工作实际提前谋划图书遴选，科学合理设置年初绩效指标。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（十一）项目11</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kern w:val="2"/>
          <w:sz w:val="32"/>
          <w:szCs w:val="32"/>
          <w:lang w:val="en-US" w:eastAsia="zh-CN" w:bidi="ar-SA"/>
        </w:rPr>
        <w:t>延安精神研究工作经费</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延安精神研究工作经费项目年初预算数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100万元，全年支出数</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%，指标分值10分，按评分标准得10分，得分率100%。</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94.48</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采取各种方式持续加强“甘肃是一片红色土地”的宣传、研究等工作，推动我省在深入研究、大力宣传、认真践行延安精神、传承红色基因等方面不断取得新成效。发挥好甘肃省延安精神宣讲团作用，加强延安精神教育基地建设，不断提高光芒杂志、光芒网、甘肃省延安精神研究会微信公众号的质量和影响力，为弘扬延安精神、传承红色基因、凝聚精神力量，建设幸福美好新甘肃做出积极贡献。</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按照预期目标，扎实推进延安精神“四进”活动。举办了主题宣讲等活动。完成延安精神教育基地建设共8个，会刊《光芒》印发4期，共计约7920册。光芒网、光芒网微平台光芒网微信发813条，光芒网网站发布稿件545篇，网站微信号共发布稿件1358篇。光芒网微信总阅读量46万，光芒网网站总点击量354万，光芒网微信及网站总点击量400万，起到了潜移默化、润物无声的教育作用。组织学习调研和培训活动共计2次，完成红色文化课题（论文）研究2个，增强了甘肃红色文化影响力。完成延安精神征文和甘肃红色文化（约稿）约30篇，召开会长办公会议、理论研讨会和座谈会6场，增强了甘肃红色文化的知名度、影响力，为富民兴陇打野提供了坚强的精神力量。</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24</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38.48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96.2</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年省延研会围绕中心、服务大局，不断发挥《光芒》杂志和光芒网宣传阵地作用等，在研究、宣传、弘扬延安精神方面做了大量卓有成效的工作，受到了省委和中国延安精神研究会充分肯定。全年《光芒》网站</w:t>
      </w:r>
      <w:r>
        <w:rPr>
          <w:rFonts w:hint="eastAsia" w:ascii="仿宋_GB2312" w:hAnsi="仿宋_GB2312" w:eastAsia="仿宋_GB2312" w:cs="仿宋_GB2312"/>
          <w:color w:val="auto"/>
          <w:sz w:val="32"/>
          <w:szCs w:val="32"/>
          <w:lang w:eastAsia="zh-CN" w:bidi="ar"/>
        </w:rPr>
        <w:t>、公众号点击量</w:t>
      </w:r>
      <w:r>
        <w:rPr>
          <w:rFonts w:hint="eastAsia" w:ascii="仿宋_GB2312" w:hAnsi="仿宋_GB2312" w:eastAsia="仿宋_GB2312" w:cs="仿宋_GB2312"/>
          <w:color w:val="auto"/>
          <w:sz w:val="32"/>
          <w:szCs w:val="32"/>
          <w:lang w:val="en-US" w:eastAsia="zh-CN" w:bidi="ar"/>
        </w:rPr>
        <w:t>1000余万次、</w:t>
      </w:r>
      <w:r>
        <w:rPr>
          <w:rFonts w:hint="eastAsia" w:ascii="仿宋_GB2312" w:hAnsi="仿宋_GB2312" w:eastAsia="仿宋_GB2312" w:cs="仿宋_GB2312"/>
          <w:color w:val="auto"/>
          <w:sz w:val="32"/>
          <w:szCs w:val="32"/>
          <w:lang w:bidi="ar"/>
        </w:rPr>
        <w:t>发布信息</w:t>
      </w:r>
      <w:r>
        <w:rPr>
          <w:rFonts w:hint="eastAsia" w:ascii="仿宋_GB2312" w:hAnsi="仿宋_GB2312" w:eastAsia="仿宋_GB2312" w:cs="仿宋_GB2312"/>
          <w:color w:val="auto"/>
          <w:sz w:val="32"/>
          <w:szCs w:val="32"/>
          <w:lang w:val="en-US" w:eastAsia="zh-CN" w:bidi="ar"/>
        </w:rPr>
        <w:t>1000余</w:t>
      </w:r>
      <w:r>
        <w:rPr>
          <w:rFonts w:hint="eastAsia" w:ascii="仿宋_GB2312" w:hAnsi="仿宋_GB2312" w:eastAsia="仿宋_GB2312" w:cs="仿宋_GB2312"/>
          <w:color w:val="auto"/>
          <w:sz w:val="32"/>
          <w:szCs w:val="32"/>
          <w:lang w:bidi="ar"/>
        </w:rPr>
        <w:t>条，刊发《光芒》杂志</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期</w:t>
      </w:r>
      <w:r>
        <w:rPr>
          <w:rFonts w:hint="eastAsia" w:ascii="仿宋_GB2312" w:hAnsi="仿宋_GB2312" w:eastAsia="仿宋_GB2312" w:cs="仿宋_GB2312"/>
          <w:color w:val="auto"/>
          <w:sz w:val="32"/>
          <w:szCs w:val="32"/>
          <w:lang w:val="en-US" w:eastAsia="zh-CN" w:bidi="ar"/>
        </w:rPr>
        <w:t>。各项</w:t>
      </w:r>
      <w:r>
        <w:rPr>
          <w:rFonts w:hint="eastAsia" w:ascii="仿宋_GB2312" w:hAnsi="仿宋_GB2312" w:eastAsia="仿宋_GB2312" w:cs="仿宋_GB2312"/>
          <w:color w:val="auto"/>
          <w:sz w:val="32"/>
          <w:szCs w:val="32"/>
          <w:lang w:bidi="ar"/>
        </w:rPr>
        <w:t>指标</w:t>
      </w:r>
      <w:r>
        <w:rPr>
          <w:rFonts w:hint="eastAsia" w:ascii="仿宋_GB2312" w:hAnsi="仿宋_GB2312" w:eastAsia="仿宋_GB2312" w:cs="仿宋_GB2312"/>
          <w:color w:val="auto"/>
          <w:sz w:val="32"/>
          <w:szCs w:val="32"/>
          <w:lang w:eastAsia="zh-CN" w:bidi="ar"/>
        </w:rPr>
        <w:t>基本</w:t>
      </w:r>
      <w:r>
        <w:rPr>
          <w:rFonts w:hint="eastAsia" w:ascii="仿宋_GB2312" w:hAnsi="仿宋_GB2312" w:eastAsia="仿宋_GB2312" w:cs="仿宋_GB2312"/>
          <w:color w:val="auto"/>
          <w:sz w:val="32"/>
          <w:szCs w:val="32"/>
          <w:lang w:bidi="ar"/>
        </w:rPr>
        <w:t>均达到预期目标值</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18.37</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18.37</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年刊物和通俗读物印刷质量验收合格率</w:t>
      </w:r>
      <w:r>
        <w:rPr>
          <w:rFonts w:hint="eastAsia" w:ascii="仿宋_GB2312" w:hAnsi="仿宋_GB2312" w:eastAsia="仿宋_GB2312" w:cs="仿宋_GB2312"/>
          <w:color w:val="auto"/>
          <w:sz w:val="32"/>
          <w:szCs w:val="32"/>
          <w:lang w:eastAsia="zh-CN"/>
        </w:rPr>
        <w:t>、建立延安精神教育基地达标率、网络安全规范性、网站发布信息内容匹配率均达到年初目标</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6.68</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6.68</w:t>
      </w:r>
      <w:r>
        <w:rPr>
          <w:rFonts w:hint="eastAsia" w:ascii="仿宋_GB2312" w:hAnsi="仿宋_GB2312" w:eastAsia="仿宋_GB2312" w:cs="仿宋_GB2312"/>
          <w:color w:val="auto"/>
          <w:sz w:val="32"/>
          <w:szCs w:val="32"/>
        </w:rPr>
        <w:t>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年根据年度工作计划完成了宣讲会的举办、杂志的刊发、网站维护及网站信息发布等工作，各项工作均在规定时间内完成。指标分值合计</w:t>
      </w:r>
      <w:r>
        <w:rPr>
          <w:rFonts w:hint="eastAsia" w:ascii="仿宋_GB2312" w:hAnsi="仿宋_GB2312" w:eastAsia="仿宋_GB2312" w:cs="仿宋_GB2312"/>
          <w:color w:val="auto"/>
          <w:sz w:val="32"/>
          <w:szCs w:val="32"/>
          <w:lang w:val="en-US" w:eastAsia="zh-CN"/>
        </w:rPr>
        <w:t>14.95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13.43</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89.83</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利用</w:t>
      </w:r>
      <w:r>
        <w:rPr>
          <w:rFonts w:hint="eastAsia" w:ascii="仿宋_GB2312" w:hAnsi="仿宋_GB2312" w:eastAsia="仿宋_GB2312" w:cs="仿宋_GB2312"/>
          <w:color w:val="auto"/>
          <w:sz w:val="32"/>
          <w:szCs w:val="32"/>
        </w:rPr>
        <w:t>对外学习和交往交流活动平台，不断汲取外省宣传红色文化的好经验、好做法，同时推介甘肃的红色文化，扩大甘肃影响，坚持把讲政治放在首位，围绕中心、服务大局，很好地发挥了职能作用，进一步促进了红色文化普及和红色资源的有效利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使得延安精神、南梁精神不断发扬光大，革命精神社会影响力得到不断提升。指标分值合计</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年进一步发挥光芒网、《光芒》杂志、延安精神宣讲团平台和品牌作用，大力宣传、研究、弘扬和践行延安精神，继承发扬好党的优良传统和作风，着力打造延安精神七进宣讲活动品牌，切实讲好“四个故事”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强学习借鉴，在中延会指导和友省延研会、红色场馆和文化机构先进经验带动下，进一步加强对甘肃省红色文化资源宣传、保护和利用，不断增强甘肃省红色文化的知名度、影响力，为富民兴陇大业提供坚强的精神力量，得到了</w:t>
      </w:r>
      <w:r>
        <w:rPr>
          <w:rFonts w:hint="eastAsia" w:ascii="仿宋_GB2312" w:hAnsi="仿宋_GB2312" w:eastAsia="仿宋_GB2312" w:cs="仿宋_GB2312"/>
          <w:color w:val="auto"/>
          <w:sz w:val="32"/>
          <w:szCs w:val="32"/>
          <w:lang w:eastAsia="zh-CN"/>
        </w:rPr>
        <w:t>研究会会员</w:t>
      </w:r>
      <w:r>
        <w:rPr>
          <w:rFonts w:hint="eastAsia" w:ascii="仿宋_GB2312" w:hAnsi="仿宋_GB2312" w:eastAsia="仿宋_GB2312" w:cs="仿宋_GB2312"/>
          <w:color w:val="auto"/>
          <w:sz w:val="32"/>
          <w:szCs w:val="32"/>
        </w:rPr>
        <w:t>较为广泛的认同，服务对象满意度为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%，达到了预期目标值。指标分值合计10分，按评分标准得10分，得分率100%。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pStyle w:val="19"/>
        <w:keepNext w:val="0"/>
        <w:keepLines w:val="0"/>
        <w:pageBreakBefore w:val="0"/>
        <w:kinsoku/>
        <w:wordWrap/>
        <w:overflowPunct/>
        <w:autoSpaceDE/>
        <w:autoSpaceDN/>
        <w:bidi w:val="0"/>
        <w:spacing w:line="600" w:lineRule="exact"/>
        <w:ind w:left="0" w:leftChars="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无偏差</w:t>
      </w:r>
      <w:r>
        <w:rPr>
          <w:rFonts w:hint="eastAsia" w:ascii="仿宋_GB2312" w:hAnsi="仿宋_GB2312" w:cs="仿宋_GB2312"/>
          <w:b w:val="0"/>
          <w:bCs w:val="0"/>
          <w:color w:val="auto"/>
          <w:kern w:val="2"/>
          <w:sz w:val="32"/>
          <w:szCs w:val="32"/>
          <w:lang w:val="en-US" w:eastAsia="zh-CN" w:bidi="ar-SA"/>
        </w:rPr>
        <w:t>，各项指标均圆满完成</w:t>
      </w:r>
      <w:r>
        <w:rPr>
          <w:rFonts w:hint="eastAsia" w:ascii="仿宋_GB2312" w:hAnsi="仿宋_GB2312" w:eastAsia="仿宋_GB2312" w:cs="仿宋_GB2312"/>
          <w:b w:val="0"/>
          <w:bCs w:val="0"/>
          <w:color w:val="auto"/>
          <w:kern w:val="2"/>
          <w:sz w:val="32"/>
          <w:szCs w:val="32"/>
          <w:lang w:val="en-US" w:eastAsia="zh-CN" w:bidi="ar-SA"/>
        </w:rPr>
        <w:t>。</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bookmarkStart w:id="76" w:name="_Toc16388"/>
      <w:r>
        <w:rPr>
          <w:rFonts w:hint="eastAsia" w:ascii="仿宋_GB2312" w:hAnsi="仿宋_GB2312" w:eastAsia="仿宋_GB2312" w:cs="仿宋_GB2312"/>
          <w:color w:val="auto"/>
          <w:sz w:val="32"/>
          <w:szCs w:val="32"/>
        </w:rPr>
        <w:t>（十</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）项目1</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精神文明建设重点工作经费</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精神文明建设重点工作经费项目年初预算数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400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全年预算数为</w:t>
      </w:r>
      <w:r>
        <w:rPr>
          <w:rFonts w:hint="eastAsia" w:ascii="仿宋_GB2312" w:hAnsi="仿宋_GB2312" w:eastAsia="仿宋_GB2312" w:cs="仿宋_GB2312"/>
          <w:color w:val="auto"/>
          <w:sz w:val="32"/>
          <w:szCs w:val="32"/>
          <w:lang w:val="en-US" w:eastAsia="zh-CN"/>
        </w:rPr>
        <w:t>400万元，</w:t>
      </w:r>
      <w:r>
        <w:rPr>
          <w:rFonts w:hint="eastAsia" w:ascii="仿宋_GB2312" w:hAnsi="仿宋_GB2312" w:eastAsia="仿宋_GB2312" w:cs="仿宋_GB2312"/>
          <w:color w:val="auto"/>
          <w:sz w:val="32"/>
          <w:szCs w:val="32"/>
        </w:rPr>
        <w:t>全年支出数</w:t>
      </w:r>
      <w:r>
        <w:rPr>
          <w:rFonts w:hint="eastAsia" w:ascii="仿宋_GB2312" w:hAnsi="仿宋_GB2312" w:eastAsia="仿宋_GB2312" w:cs="仿宋_GB2312"/>
          <w:color w:val="auto"/>
          <w:sz w:val="32"/>
          <w:szCs w:val="32"/>
          <w:lang w:val="en-US" w:eastAsia="zh-CN"/>
        </w:rPr>
        <w:t>379.58</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94.89</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9.48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94.8</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90.78</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文明创建：坚持利民惠民，注重过程管理，全面改进创新群众性精神文明创建工作。文明实践：党的创新理论传播深入广泛，移风易俗宣传引导取得实效，群众精神文化生活不断丰富。文明培育：推动正能量传播，提高公民的道德素养和社会责任感。</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lang w:eastAsia="zh-CN"/>
        </w:rPr>
        <w:t>文明创建：肃南、崇信、玉门、敦煌、永靖5个县（市）获评全国文明城市，实现了我省县级全国文明城市“零”的突破，获评数量位居西北五省（区）第一。72个村镇、101个单位分别获评全国文明村镇、文明单位，获评数量较上一届增幅达60%以上。同时，往届全国文明城市、文明村镇、文明单位共353个主体通过复查、保留荣誉称号。新一轮创建启动后，各地各部门踊跃争创，9个地级城市、14个县级城市入选新一届创建周期全国文明城市提名城市，实现全省14个市州创建全国文明城市全覆盖，237个村镇、249个单位入选全国提名，切实提升了全社会文明程度。</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文明实践：持续推动党的创新理论深入人心，举办基层理论宣讲活动13万场（次）。广泛开展形式多样、内容丰富的政策宣讲、文艺惠民、便民服务等文明实践活动55万场（次），探索形成“文明集市”等一批具有地域特色的实践模式。举办“我们的节日”省级主场活动4场（次），组织承办“我们的节日·端午”全国主场活动。“抵制高额彩礼主题宣传进乡村”行动深入开展，各级主流媒体、实践阵地携手举行“移风易俗乡村谈”等特色活动，累计开展移风易俗宣传宣讲5万场（次）。</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文明培育：推评选树全国道德模范1名、提名奖获得者8名（组）、“中国好人”5名、全国“新时代好少年”1组，拍摄制作宣传全国道德模范、中国好人、新时代好少年等模范典型的短视频，关爱帮扶先进典型20人，组织编印《榜样的力量——甘肃省全国道德模范及提名奖获得者风采录》，新建乡村学校少年宫20所，农家书屋乡村学校少年宫阅读点372个，有效发挥先进典型、项目工程、特色活动的示范引领、辐射带动作用，倡导全社会形成崇德向善、见贤思齐良好氛围。</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33.29</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83.26</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highlight w:val="yellow"/>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w:t>
      </w:r>
      <w:r>
        <w:rPr>
          <w:rFonts w:hint="eastAsia" w:ascii="仿宋_GB2312" w:hAnsi="仿宋_GB2312" w:eastAsia="仿宋_GB2312" w:cs="仿宋_GB2312"/>
          <w:color w:val="auto"/>
          <w:sz w:val="32"/>
          <w:szCs w:val="32"/>
          <w:lang w:val="en-US" w:eastAsia="zh-CN" w:bidi="ar"/>
        </w:rPr>
        <w:t>文明实践</w:t>
      </w:r>
      <w:r>
        <w:rPr>
          <w:rFonts w:hint="eastAsia" w:ascii="仿宋_GB2312" w:hAnsi="仿宋_GB2312" w:eastAsia="仿宋_GB2312" w:cs="仿宋_GB2312"/>
          <w:color w:val="auto"/>
          <w:sz w:val="32"/>
          <w:szCs w:val="32"/>
          <w:lang w:bidi="ar"/>
        </w:rPr>
        <w:t>试点数量</w:t>
      </w:r>
      <w:r>
        <w:rPr>
          <w:rFonts w:hint="eastAsia" w:ascii="仿宋_GB2312" w:hAnsi="仿宋_GB2312" w:eastAsia="仿宋_GB2312" w:cs="仿宋_GB2312"/>
          <w:color w:val="auto"/>
          <w:sz w:val="32"/>
          <w:szCs w:val="32"/>
          <w:lang w:val="en-US" w:eastAsia="zh-CN" w:bidi="ar"/>
        </w:rPr>
        <w:t>5个、活动数量10个，推选先进典型人数6次。</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14.56</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10.01</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68.75</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持续推进志愿服务建设，加强未成年人思想道德建设等工作，着力提高公民道德水平和社会文明程度，为建设幸福美好新甘肃提供坚强思想保证、强大精神动力、丰润道德滋养、良好文化条件，各项工作取得了新成效。试点示范典型性、活动示范典型性</w:t>
      </w:r>
      <w:r>
        <w:rPr>
          <w:rFonts w:hint="eastAsia" w:ascii="仿宋_GB2312" w:hAnsi="仿宋_GB2312" w:eastAsia="仿宋_GB2312" w:cs="仿宋_GB2312"/>
          <w:color w:val="auto"/>
          <w:sz w:val="32"/>
          <w:szCs w:val="32"/>
          <w:lang w:eastAsia="zh-CN" w:bidi="ar"/>
        </w:rPr>
        <w:t>、先进典型匹配率</w:t>
      </w:r>
      <w:r>
        <w:rPr>
          <w:rFonts w:hint="eastAsia" w:ascii="仿宋_GB2312" w:hAnsi="仿宋_GB2312" w:eastAsia="仿宋_GB2312" w:cs="仿宋_GB2312"/>
          <w:color w:val="auto"/>
          <w:sz w:val="32"/>
          <w:szCs w:val="32"/>
          <w:lang w:bidi="ar"/>
        </w:rPr>
        <w:t>均达到100%，保质保量完成了各项工作。指标分值合计</w:t>
      </w:r>
      <w:r>
        <w:rPr>
          <w:rFonts w:hint="eastAsia" w:ascii="仿宋_GB2312" w:hAnsi="仿宋_GB2312" w:eastAsia="仿宋_GB2312" w:cs="仿宋_GB2312"/>
          <w:color w:val="auto"/>
          <w:sz w:val="32"/>
          <w:szCs w:val="32"/>
          <w:lang w:val="en-US" w:eastAsia="zh-CN" w:bidi="ar"/>
        </w:rPr>
        <w:t>14.56</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13.48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92.58</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年根据年度工作计划完成了重点工作调研、</w:t>
      </w:r>
      <w:r>
        <w:rPr>
          <w:rFonts w:hint="eastAsia" w:ascii="仿宋_GB2312" w:hAnsi="仿宋_GB2312" w:eastAsia="仿宋_GB2312" w:cs="仿宋_GB2312"/>
          <w:color w:val="auto"/>
          <w:sz w:val="32"/>
          <w:szCs w:val="32"/>
          <w:lang w:val="en-US" w:eastAsia="zh-CN"/>
        </w:rPr>
        <w:t>活动、推荐评选</w:t>
      </w:r>
      <w:r>
        <w:rPr>
          <w:rFonts w:hint="eastAsia" w:ascii="仿宋_GB2312" w:hAnsi="仿宋_GB2312" w:eastAsia="仿宋_GB2312" w:cs="仿宋_GB2312"/>
          <w:color w:val="auto"/>
          <w:sz w:val="32"/>
          <w:szCs w:val="32"/>
        </w:rPr>
        <w:t>等工作</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10.88</w:t>
      </w:r>
      <w:r>
        <w:rPr>
          <w:rFonts w:hint="eastAsia" w:ascii="仿宋_GB2312" w:hAnsi="仿宋_GB2312" w:eastAsia="仿宋_GB2312" w:cs="仿宋_GB2312"/>
          <w:color w:val="auto"/>
          <w:sz w:val="32"/>
          <w:szCs w:val="32"/>
          <w:lang w:bidi="ar"/>
        </w:rPr>
        <w:t>分，</w:t>
      </w:r>
      <w:r>
        <w:rPr>
          <w:rFonts w:hint="eastAsia" w:ascii="仿宋_GB2312" w:hAnsi="仿宋_GB2312" w:eastAsia="仿宋_GB2312" w:cs="仿宋_GB2312"/>
          <w:color w:val="auto"/>
          <w:sz w:val="32"/>
          <w:szCs w:val="32"/>
        </w:rPr>
        <w:t>按评分标准得</w:t>
      </w:r>
      <w:r>
        <w:rPr>
          <w:rFonts w:hint="eastAsia" w:ascii="仿宋_GB2312" w:hAnsi="仿宋_GB2312" w:eastAsia="仿宋_GB2312" w:cs="仿宋_GB2312"/>
          <w:color w:val="auto"/>
          <w:sz w:val="32"/>
          <w:szCs w:val="32"/>
          <w:lang w:val="en-US" w:eastAsia="zh-CN"/>
        </w:rPr>
        <w:t>9.8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90.07</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我部</w:t>
      </w:r>
      <w:r>
        <w:rPr>
          <w:rFonts w:hint="eastAsia" w:ascii="仿宋_GB2312" w:hAnsi="仿宋_GB2312" w:eastAsia="仿宋_GB2312" w:cs="仿宋_GB2312"/>
          <w:color w:val="auto"/>
          <w:sz w:val="32"/>
          <w:szCs w:val="32"/>
        </w:rPr>
        <w:t>把创建工作贯穿到城市建设、管理、发展各方面，深化拓展新时代文明实践中心建设，着力在深化拓展上下功夫、完善机制上出成果、培植特色上见实效，强化示范引领，有效促进了公民道德水平和社会文明程度的提升，农村精神文明建设、试点工作引领性、活动示范引领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先进典型示范引领力</w:t>
      </w:r>
      <w:r>
        <w:rPr>
          <w:rFonts w:hint="eastAsia" w:ascii="仿宋_GB2312" w:hAnsi="仿宋_GB2312" w:eastAsia="仿宋_GB2312" w:cs="仿宋_GB2312"/>
          <w:color w:val="auto"/>
          <w:sz w:val="32"/>
          <w:szCs w:val="32"/>
          <w:lang w:val="en-US" w:eastAsia="zh-CN"/>
        </w:rPr>
        <w:t>均达到了预期目标</w:t>
      </w:r>
      <w:r>
        <w:rPr>
          <w:rFonts w:hint="eastAsia" w:ascii="仿宋_GB2312" w:hAnsi="仿宋_GB2312" w:eastAsia="仿宋_GB2312" w:cs="仿宋_GB2312"/>
          <w:color w:val="auto"/>
          <w:sz w:val="32"/>
          <w:szCs w:val="32"/>
        </w:rPr>
        <w:t>，促进了社会的和谐与稳定。指标分值合计</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w:t>
      </w:r>
      <w:r>
        <w:rPr>
          <w:rFonts w:hint="eastAsia" w:ascii="仿宋_GB2312" w:hAnsi="仿宋_GB2312" w:eastAsia="仿宋_GB2312" w:cs="仿宋_GB2312"/>
          <w:color w:val="auto"/>
          <w:sz w:val="32"/>
          <w:szCs w:val="32"/>
          <w:lang w:val="en-US" w:eastAsia="zh-CN" w:bidi="ar"/>
        </w:rPr>
        <w:t>10</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加强改进文明单位创建工作，拓展创建领域，改进创建方法，发挥省直机关高标准积极创建文明单位的示范引领效应，激发创建工作积极性和主动性，扩大创建工作覆盖面和影响力，持续深化文明家庭创建工作，扩大创建活动参与面、影响力，引导党员干部、公众人物带头遵守公序良俗、履行家庭责任，得到了人民群众的一致好评，人民群众满意度为9</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400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0%。</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pStyle w:val="2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cs="仿宋_GB2312"/>
          <w:b/>
          <w:bCs/>
          <w:color w:val="auto"/>
          <w:kern w:val="2"/>
          <w:sz w:val="32"/>
          <w:szCs w:val="32"/>
          <w:lang w:val="en-US" w:eastAsia="zh-CN" w:bidi="ar-SA"/>
        </w:rPr>
        <w:t>复查工作未开展。</w:t>
      </w:r>
      <w:r>
        <w:rPr>
          <w:rFonts w:hint="eastAsia" w:ascii="仿宋_GB2312" w:hAnsi="仿宋_GB2312" w:eastAsia="仿宋_GB2312" w:cs="仿宋_GB2312"/>
          <w:b w:val="0"/>
          <w:bCs w:val="0"/>
          <w:color w:val="auto"/>
          <w:kern w:val="2"/>
          <w:sz w:val="32"/>
          <w:szCs w:val="32"/>
          <w:lang w:val="en-US" w:eastAsia="zh-CN" w:bidi="ar-SA"/>
        </w:rPr>
        <w:t>主要原因是</w:t>
      </w:r>
      <w:r>
        <w:rPr>
          <w:rFonts w:hint="eastAsia" w:ascii="仿宋_GB2312" w:hAnsi="仿宋_GB2312" w:eastAsia="仿宋_GB2312" w:cs="仿宋_GB2312"/>
          <w:b w:val="0"/>
          <w:bCs w:val="0"/>
          <w:color w:val="auto"/>
          <w:sz w:val="32"/>
          <w:szCs w:val="32"/>
          <w:lang w:val="en-US" w:eastAsia="zh-CN"/>
        </w:rPr>
        <w:t>中央文明办</w:t>
      </w:r>
      <w:r>
        <w:rPr>
          <w:rFonts w:hint="eastAsia" w:cs="仿宋_GB2312"/>
          <w:b w:val="0"/>
          <w:bCs w:val="0"/>
          <w:color w:val="auto"/>
          <w:sz w:val="32"/>
          <w:szCs w:val="32"/>
          <w:lang w:val="en-US" w:eastAsia="zh-CN"/>
        </w:rPr>
        <w:t>统一安排调整</w:t>
      </w:r>
      <w:r>
        <w:rPr>
          <w:rFonts w:hint="eastAsia" w:ascii="仿宋_GB2312" w:hAnsi="仿宋_GB2312" w:eastAsia="仿宋_GB2312" w:cs="仿宋_GB2312"/>
          <w:b w:val="0"/>
          <w:bCs w:val="0"/>
          <w:color w:val="auto"/>
          <w:sz w:val="32"/>
          <w:szCs w:val="32"/>
          <w:lang w:val="en-US" w:eastAsia="zh-CN"/>
        </w:rPr>
        <w:t>，2025年</w:t>
      </w:r>
      <w:r>
        <w:rPr>
          <w:rFonts w:hint="eastAsia" w:cs="仿宋_GB2312"/>
          <w:b w:val="0"/>
          <w:bCs w:val="0"/>
          <w:color w:val="auto"/>
          <w:sz w:val="32"/>
          <w:szCs w:val="32"/>
          <w:lang w:val="en-US" w:eastAsia="zh-CN"/>
        </w:rPr>
        <w:t>度</w:t>
      </w:r>
      <w:r>
        <w:rPr>
          <w:rFonts w:hint="eastAsia" w:ascii="仿宋_GB2312" w:hAnsi="仿宋_GB2312" w:eastAsia="仿宋_GB2312" w:cs="仿宋_GB2312"/>
          <w:b w:val="0"/>
          <w:bCs w:val="0"/>
          <w:color w:val="auto"/>
          <w:sz w:val="32"/>
          <w:szCs w:val="32"/>
          <w:lang w:val="en-US" w:eastAsia="zh-CN"/>
        </w:rPr>
        <w:t>评估复查工作</w:t>
      </w:r>
      <w:r>
        <w:rPr>
          <w:rFonts w:hint="eastAsia" w:cs="仿宋_GB2312"/>
          <w:b w:val="0"/>
          <w:bCs w:val="0"/>
          <w:color w:val="auto"/>
          <w:sz w:val="32"/>
          <w:szCs w:val="32"/>
          <w:lang w:val="en-US" w:eastAsia="zh-CN"/>
        </w:rPr>
        <w:t>调整至2026年开展</w:t>
      </w:r>
      <w:r>
        <w:rPr>
          <w:rFonts w:hint="eastAsia" w:ascii="仿宋_GB2312" w:hAnsi="仿宋_GB2312" w:eastAsia="仿宋_GB2312" w:cs="仿宋_GB2312"/>
          <w:b w:val="0"/>
          <w:bCs w:val="0"/>
          <w:color w:val="auto"/>
          <w:sz w:val="32"/>
          <w:szCs w:val="32"/>
          <w:lang w:val="en-US" w:eastAsia="zh-CN"/>
        </w:rPr>
        <w:t>。</w:t>
      </w:r>
      <w:r>
        <w:rPr>
          <w:rFonts w:hint="eastAsia" w:cs="仿宋_GB2312"/>
          <w:b w:val="0"/>
          <w:bCs w:val="0"/>
          <w:color w:val="auto"/>
          <w:sz w:val="32"/>
          <w:szCs w:val="32"/>
          <w:lang w:val="en-US" w:eastAsia="zh-CN"/>
        </w:rPr>
        <w:t>下一步，我们将紧盯上级工作部署，精准对接任务安排，按时完成各项工作，强化工作闭环管理。</w:t>
      </w:r>
    </w:p>
    <w:p>
      <w:pPr>
        <w:pStyle w:val="2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（十三）项目13</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kern w:val="2"/>
          <w:sz w:val="32"/>
          <w:szCs w:val="32"/>
          <w:lang w:val="en-US" w:eastAsia="zh-CN" w:bidi="ar-SA"/>
        </w:rPr>
        <w:t>业务费（含学习强国甘肃学习平台建设使用推广培训等）</w:t>
      </w:r>
      <w:bookmarkEnd w:id="76"/>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业务费（含学习强国甘肃学习平台建设使用推广培训等）项目年初预算数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全年预算数</w:t>
      </w:r>
      <w:r>
        <w:rPr>
          <w:rFonts w:hint="eastAsia" w:ascii="仿宋_GB2312" w:hAnsi="仿宋_GB2312" w:eastAsia="仿宋_GB2312" w:cs="仿宋_GB2312"/>
          <w:color w:val="auto"/>
          <w:sz w:val="32"/>
          <w:szCs w:val="32"/>
          <w:lang w:eastAsia="zh-CN"/>
        </w:rPr>
        <w:t>均为</w:t>
      </w:r>
      <w:r>
        <w:rPr>
          <w:rFonts w:hint="eastAsia" w:ascii="仿宋_GB2312" w:hAnsi="仿宋_GB2312" w:eastAsia="仿宋_GB2312" w:cs="仿宋_GB2312"/>
          <w:color w:val="auto"/>
          <w:sz w:val="32"/>
          <w:szCs w:val="32"/>
          <w:lang w:val="en-US" w:eastAsia="zh-CN"/>
        </w:rPr>
        <w:t>360</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360</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w:t>
      </w:r>
      <w:r>
        <w:rPr>
          <w:rFonts w:hint="eastAsia" w:cs="仿宋_GB2312"/>
          <w:color w:val="auto"/>
          <w:sz w:val="32"/>
          <w:szCs w:val="32"/>
          <w:lang w:val="en-US" w:eastAsia="zh-CN"/>
        </w:rPr>
        <w:t>0</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96.03</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为深入贯彻落实中共中央办公厅《关于加强和改进新时代党委讲师团工作的意见》，开创全省党委讲师团工作新局面，甘肃省委讲师团坚持以习近平新时代中国特色社会主义思想为指导，聚焦全面准确宣讲习近平新时代中国特色社会主义思想的主线，把握新时代党委讲师团工作只能加强、不能削弱这个要求，着力提高全省各级党委讲师团工作科学化、规范化水平，为全面贯彻党中央、省委的重大决策部署提供有力的宣传支撑。目标1：做好重大主题宣讲工作，根据中央、我省统一部署和形势任务的要求，在宣传部统一领导下，做好组织实施重大宣讲活动的工作。会同有关部门组建宣讲队伍、制定宣讲计划、编写宣讲提纲、组织集体备课、培训宣讲骨干。集中宣讲党的理论和路线方针政策，集中宣讲党中央和我省重大工作部署，集中宣讲党中央关于形势的重分析判断，引导党员干部群众把思想和行动统一到党中央精神上来；目标2：做好基层理论宣讲工作，深入基层、深入实际、深入群众，结合基层群众对美好生活的需要，针对人们普遍关心的热点难点问题，面对面开展经常性的理论和形势政策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目标3：做好党委（党组）理论学习中心组学习服务工作，配合党委有关部门，对同级党委中心学习组做好服务，对下级党委中心学习组进行指导、督促、检查；目标4：做好党员干部在职理论学习教育工作，根据中央和我省部署，组织党员干部在职理论教育、形势政策教育等工作。采取开展专题讲座、组织学习研讨、开设网络课程等多种形式，促进党员干部在职理论学习常态化制度化；目标5：做好重大理论和现实问题调查研究工作，发挥自身优势和特点，各级参与习近平新时代中国特色社会主义思想研究中心、智库等平台建设。加强调查研究，了解社情民意，总结新鲜经验，不断增强脚力、眼力、脑力、笔力。加强研究成果转化，组织编写通俗理论读物，办好相关刊物和网站；</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目标6：建好、办好、用好“学习强国”甘肃学习平台，持续推进“学习强国”甘肃学习平台建设使用推广工作，依托“学习强国”平台，充分调动各方力量，整合各类资源，构建覆盖全省各级党组织、延伸到社会的学习组织架构，实现全省党员、干部对学习平台PC端和手机APP的全面运用，引导、鼓励广大群众学用“学习强国”。</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2025年，在省委宣传部领导下，省委讲师团坚持以习近平新时代中国特色社会主义思想为指导，全面贯彻落实党的二十大和二十届历次全会精神，深入贯彻落实习近平文化思想和习近平总书记视察甘肃重要讲话重要指示精神，全力推动党的创新理论在陇原大地落地生根、开花结果。2025年，全省共组建各级各类宣讲团（组）11.37万个，组织开展各类宣讲活动28.65万场，覆盖受众4714.82万人次，其中线上宣讲覆盖受众3722.01万人次，线下宣讲覆盖受众992.81万人次，党的创新理论传播覆盖面与影响力持续提升。1.聚焦核心任务，重大主题宣讲扎实深入。一是常态化开展习近平新时代中国特色社会主义思想宣讲。二是精心组织全国两会精神宣讲。三是扎实开展习近平总书记视察甘肃重要讲话重要指示精神宣讲。四是组织开展《习近平谈治国理政》第五卷专题宣讲。五是全力推动党的二十届四中全会精神宣讲。2.拓展形式载体，基层理论宣讲活力迸发。一是以赛为媒激发宣讲活力。二是持续擦亮特色宣讲品牌。三是深入开展基层巡回宣讲。3.深化调查研究，理论研究阐释成果丰硕。一是做优理论阐释品牌。二是提升调研成果影响力。三是评选推介优秀宣讲作品。4.聚力关键环节，甘肃学习平台建设卓有成效。一是内容建设亮点纷呈。二是矩阵建设实现突破。三是宣传推广有声有色。四是工作实绩获得肯定。5.坚持放眼全国，补短板强弱项促提升。一是健全完善工作机制。二是强化宣讲队伍管理。三是创新开展东西部“宣讲走亲”活动。2025年各项绩效指标实际完成全部或基本达到预期指标。</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16</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38.03</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95.08</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736" w:firstLineChars="229"/>
        <w:textAlignment w:val="auto"/>
        <w:rPr>
          <w:rFonts w:hint="eastAsia" w:ascii="仿宋_GB2312" w:hAnsi="仿宋_GB2312" w:eastAsia="仿宋_GB2312" w:cs="仿宋_GB2312"/>
          <w:color w:val="auto"/>
          <w:sz w:val="32"/>
          <w:szCs w:val="32"/>
          <w:highlight w:val="yellow"/>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年省委讲师团充分履行其工作职能，全年“学习强国”甘肃学习平台管理员、供稿员业务培训</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次，编印</w:t>
      </w:r>
      <w:r>
        <w:rPr>
          <w:rFonts w:hint="eastAsia" w:ascii="仿宋_GB2312" w:hAnsi="仿宋_GB2312" w:eastAsia="仿宋_GB2312" w:cs="仿宋_GB2312"/>
          <w:color w:val="auto"/>
          <w:sz w:val="32"/>
          <w:szCs w:val="32"/>
          <w:lang w:val="en-US" w:eastAsia="zh-CN" w:bidi="ar"/>
        </w:rPr>
        <w:t>宣传</w:t>
      </w:r>
      <w:r>
        <w:rPr>
          <w:rFonts w:hint="eastAsia" w:ascii="仿宋_GB2312" w:hAnsi="仿宋_GB2312" w:eastAsia="仿宋_GB2312" w:cs="仿宋_GB2312"/>
          <w:color w:val="auto"/>
          <w:sz w:val="32"/>
          <w:szCs w:val="32"/>
          <w:lang w:bidi="ar"/>
        </w:rPr>
        <w:t>辅导材料</w:t>
      </w:r>
      <w:r>
        <w:rPr>
          <w:rFonts w:hint="eastAsia" w:ascii="仿宋_GB2312" w:hAnsi="仿宋_GB2312" w:eastAsia="仿宋_GB2312" w:cs="仿宋_GB2312"/>
          <w:color w:val="auto"/>
          <w:sz w:val="32"/>
          <w:szCs w:val="32"/>
          <w:lang w:val="en-US" w:eastAsia="zh-CN" w:bidi="ar"/>
        </w:rPr>
        <w:t>5000</w:t>
      </w:r>
      <w:r>
        <w:rPr>
          <w:rFonts w:hint="eastAsia" w:ascii="仿宋_GB2312" w:hAnsi="仿宋_GB2312" w:eastAsia="仿宋_GB2312" w:cs="仿宋_GB2312"/>
          <w:color w:val="auto"/>
          <w:sz w:val="32"/>
          <w:szCs w:val="32"/>
          <w:lang w:bidi="ar"/>
        </w:rPr>
        <w:t>册，组织开展基层理论宣讲活动</w:t>
      </w:r>
      <w:r>
        <w:rPr>
          <w:rFonts w:hint="eastAsia" w:ascii="仿宋_GB2312" w:hAnsi="仿宋_GB2312" w:eastAsia="仿宋_GB2312" w:cs="仿宋_GB2312"/>
          <w:color w:val="auto"/>
          <w:sz w:val="32"/>
          <w:szCs w:val="32"/>
          <w:lang w:val="en-US" w:eastAsia="zh-CN" w:bidi="ar"/>
        </w:rPr>
        <w:t>331</w:t>
      </w:r>
      <w:r>
        <w:rPr>
          <w:rFonts w:hint="eastAsia" w:ascii="仿宋_GB2312" w:hAnsi="仿宋_GB2312" w:eastAsia="仿宋_GB2312" w:cs="仿宋_GB2312"/>
          <w:color w:val="auto"/>
          <w:sz w:val="32"/>
          <w:szCs w:val="32"/>
          <w:lang w:bidi="ar"/>
        </w:rPr>
        <w:t>场，组织开展理论和现实问题调查研究，形成调研报告</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篇，组织实施重大主题宣讲活动</w:t>
      </w:r>
      <w:r>
        <w:rPr>
          <w:rFonts w:hint="eastAsia" w:ascii="仿宋_GB2312" w:hAnsi="仿宋_GB2312" w:eastAsia="仿宋_GB2312" w:cs="仿宋_GB2312"/>
          <w:color w:val="auto"/>
          <w:sz w:val="32"/>
          <w:szCs w:val="32"/>
          <w:lang w:val="en-US" w:eastAsia="zh-CN" w:bidi="ar"/>
        </w:rPr>
        <w:t>113</w:t>
      </w:r>
      <w:r>
        <w:rPr>
          <w:rFonts w:hint="eastAsia" w:ascii="仿宋_GB2312" w:hAnsi="仿宋_GB2312" w:eastAsia="仿宋_GB2312" w:cs="仿宋_GB2312"/>
          <w:color w:val="auto"/>
          <w:sz w:val="32"/>
          <w:szCs w:val="32"/>
          <w:lang w:bidi="ar"/>
        </w:rPr>
        <w:t>场，“学习强国”甘肃学习平台的宣传优势得到进一步提升。指标分值合计</w:t>
      </w:r>
      <w:r>
        <w:rPr>
          <w:rFonts w:hint="eastAsia" w:ascii="仿宋_GB2312" w:hAnsi="仿宋_GB2312" w:eastAsia="仿宋_GB2312" w:cs="仿宋_GB2312"/>
          <w:color w:val="auto"/>
          <w:sz w:val="32"/>
          <w:szCs w:val="32"/>
          <w:lang w:val="en-US" w:eastAsia="zh-CN" w:bidi="ar"/>
        </w:rPr>
        <w:t>15</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14.79</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98.6</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lang w:bidi="ar"/>
        </w:rPr>
        <w:t>年省委讲师团认真履职尽责，推动宣传思想工作守正创新、展现新作为，各项工作取得了新成效。全年材料印刷合格率、党员干部在职理论学习受教育率、调研成果有效率、培训考核合格率、宣讲地区覆盖率、宣讲人群覆盖率均达到</w:t>
      </w:r>
      <w:r>
        <w:rPr>
          <w:rFonts w:hint="eastAsia" w:ascii="仿宋_GB2312" w:hAnsi="仿宋_GB2312" w:eastAsia="仿宋_GB2312" w:cs="仿宋_GB2312"/>
          <w:color w:val="auto"/>
          <w:sz w:val="32"/>
          <w:szCs w:val="32"/>
          <w:lang w:eastAsia="zh-CN" w:bidi="ar"/>
        </w:rPr>
        <w:t>预期目标值</w:t>
      </w:r>
      <w:r>
        <w:rPr>
          <w:rFonts w:hint="eastAsia" w:ascii="仿宋_GB2312" w:hAnsi="仿宋_GB2312" w:eastAsia="仿宋_GB2312" w:cs="仿宋_GB2312"/>
          <w:color w:val="auto"/>
          <w:sz w:val="32"/>
          <w:szCs w:val="32"/>
          <w:lang w:bidi="ar"/>
        </w:rPr>
        <w:t>，保质保量完成了各项工作。指标分值合计</w:t>
      </w:r>
      <w:r>
        <w:rPr>
          <w:rFonts w:hint="eastAsia" w:ascii="仿宋_GB2312" w:hAnsi="仿宋_GB2312" w:eastAsia="仿宋_GB2312" w:cs="仿宋_GB2312"/>
          <w:color w:val="auto"/>
          <w:sz w:val="32"/>
          <w:szCs w:val="32"/>
          <w:lang w:val="en-US" w:eastAsia="zh-CN" w:bidi="ar"/>
        </w:rPr>
        <w:t>15</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14.24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94.93</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年省委讲师团根据年度工作计划完成了调研、材料印刷等工作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分，得分</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社会效益指标：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年省委讲师团完成了中央和我省安排部署的主题宣讲任务和在职党员干部理论教育、形势任务教育，建好用好管理好“学习强国”甘肃学习平台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通过培训、宣传等工作推进党员干部在职理论学习教育，提升了广大党员干部群众的理论水平，为建设幸福美好新甘肃提供了精神动力。指标分值合计</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2个三级指标，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年通过对党员群众思想工作的宣传，使全省广大党员干部群众及时了解掌握中央和省委的重大决策部署以及党的理论创新成果，提高了全省广大党员干部群众的理论水平和形势政策水平，</w:t>
      </w:r>
      <w:r>
        <w:rPr>
          <w:rFonts w:hint="eastAsia" w:ascii="仿宋_GB2312" w:hAnsi="仿宋_GB2312" w:eastAsia="仿宋_GB2312" w:cs="仿宋_GB2312"/>
          <w:color w:val="auto"/>
          <w:sz w:val="32"/>
          <w:szCs w:val="32"/>
          <w:lang w:eastAsia="zh-CN"/>
        </w:rPr>
        <w:t>取</w:t>
      </w:r>
      <w:r>
        <w:rPr>
          <w:rFonts w:hint="eastAsia" w:ascii="仿宋_GB2312" w:hAnsi="仿宋_GB2312" w:eastAsia="仿宋_GB2312" w:cs="仿宋_GB2312"/>
          <w:color w:val="auto"/>
          <w:sz w:val="32"/>
          <w:szCs w:val="32"/>
        </w:rPr>
        <w:t>得了党员干部群众较高的认可度和满意度，全省广大党员干部群众满意度为9</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通过加强对职工的培训进一步提升了职工的综合能力，培养了职工工作的积极性，得</w:t>
      </w:r>
      <w:r>
        <w:rPr>
          <w:rFonts w:hint="eastAsia" w:ascii="仿宋_GB2312" w:hAnsi="仿宋_GB2312" w:eastAsia="仿宋_GB2312" w:cs="仿宋_GB2312"/>
          <w:color w:val="auto"/>
          <w:sz w:val="32"/>
          <w:szCs w:val="32"/>
          <w:lang w:eastAsia="zh-CN"/>
        </w:rPr>
        <w:t>到</w:t>
      </w:r>
      <w:r>
        <w:rPr>
          <w:rFonts w:hint="eastAsia" w:ascii="仿宋_GB2312" w:hAnsi="仿宋_GB2312" w:eastAsia="仿宋_GB2312" w:cs="仿宋_GB2312"/>
          <w:color w:val="auto"/>
          <w:sz w:val="32"/>
          <w:szCs w:val="32"/>
        </w:rPr>
        <w:t>机关工作人员的充分认可，职工满意度为</w:t>
      </w:r>
      <w:r>
        <w:rPr>
          <w:rFonts w:hint="eastAsia" w:ascii="仿宋_GB2312" w:hAnsi="仿宋_GB2312" w:eastAsia="仿宋_GB2312" w:cs="仿宋_GB2312"/>
          <w:color w:val="auto"/>
          <w:sz w:val="32"/>
          <w:szCs w:val="32"/>
          <w:lang w:val="en-US" w:eastAsia="zh-CN"/>
        </w:rPr>
        <w:t>95</w:t>
      </w:r>
      <w:r>
        <w:rPr>
          <w:rFonts w:hint="eastAsia" w:ascii="仿宋_GB2312" w:hAnsi="仿宋_GB2312" w:eastAsia="仿宋_GB2312" w:cs="仿宋_GB2312"/>
          <w:color w:val="auto"/>
          <w:sz w:val="32"/>
          <w:szCs w:val="32"/>
        </w:rPr>
        <w:t>%。指标分值合计10分，按评分标准得10分，得分率100%。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360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偏离绩效目标的原因及下一步改进措施</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b w:val="0"/>
          <w:bCs w:val="0"/>
          <w:color w:val="auto"/>
          <w:kern w:val="2"/>
          <w:sz w:val="32"/>
          <w:szCs w:val="32"/>
          <w:lang w:val="en-US" w:eastAsia="zh-CN" w:bidi="ar-SA"/>
        </w:rPr>
      </w:pPr>
      <w:bookmarkStart w:id="77" w:name="_Toc28823"/>
      <w:r>
        <w:rPr>
          <w:rFonts w:hint="eastAsia" w:ascii="仿宋_GB2312" w:hAnsi="仿宋_GB2312" w:eastAsia="仿宋_GB2312" w:cs="仿宋_GB2312"/>
          <w:b w:val="0"/>
          <w:bCs w:val="0"/>
          <w:color w:val="auto"/>
          <w:kern w:val="2"/>
          <w:sz w:val="32"/>
          <w:szCs w:val="32"/>
          <w:lang w:val="en-US" w:eastAsia="zh-CN" w:bidi="ar-SA"/>
        </w:rPr>
        <w:t>未偏差，项目各项绩效目标均按要求完成。</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）项目1</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《党的建设》杂志社办刊补助</w:t>
      </w:r>
      <w:bookmarkEnd w:id="77"/>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省委</w:t>
      </w:r>
      <w:r>
        <w:rPr>
          <w:rFonts w:hint="eastAsia" w:ascii="仿宋_GB2312" w:hAnsi="仿宋_GB2312" w:eastAsia="仿宋_GB2312" w:cs="仿宋_GB2312"/>
          <w:color w:val="auto"/>
          <w:sz w:val="32"/>
          <w:szCs w:val="32"/>
        </w:rPr>
        <w:t>《党的建设》杂志社办刊补助</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rPr>
        <w:t>年初预算数</w:t>
      </w:r>
      <w:r>
        <w:rPr>
          <w:rFonts w:hint="eastAsia" w:ascii="仿宋_GB2312" w:hAnsi="仿宋_GB2312" w:eastAsia="仿宋_GB2312" w:cs="仿宋_GB2312"/>
          <w:color w:val="auto"/>
          <w:sz w:val="32"/>
          <w:szCs w:val="32"/>
          <w:lang w:val="en-US" w:eastAsia="zh-CN"/>
        </w:rPr>
        <w:t>2808.41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，全年预算数</w:t>
      </w:r>
      <w:r>
        <w:rPr>
          <w:rFonts w:hint="eastAsia" w:ascii="仿宋_GB2312" w:hAnsi="仿宋_GB2312" w:eastAsia="仿宋_GB2312" w:cs="仿宋_GB2312"/>
          <w:color w:val="auto"/>
          <w:sz w:val="32"/>
          <w:szCs w:val="32"/>
          <w:lang w:val="en-US" w:eastAsia="zh-CN"/>
        </w:rPr>
        <w:t>2499.34万元</w:t>
      </w:r>
      <w:r>
        <w:rPr>
          <w:rFonts w:hint="eastAsia" w:ascii="仿宋_GB2312" w:hAnsi="仿宋_GB2312" w:eastAsia="仿宋_GB2312" w:cs="仿宋_GB2312"/>
          <w:color w:val="auto"/>
          <w:sz w:val="32"/>
          <w:szCs w:val="32"/>
        </w:rPr>
        <w:t>，全年支出数</w:t>
      </w:r>
      <w:r>
        <w:rPr>
          <w:rFonts w:hint="eastAsia" w:ascii="仿宋_GB2312" w:hAnsi="仿宋_GB2312" w:eastAsia="仿宋_GB2312" w:cs="仿宋_GB2312"/>
          <w:color w:val="auto"/>
          <w:sz w:val="32"/>
          <w:szCs w:val="32"/>
          <w:lang w:val="en-US" w:eastAsia="zh-CN"/>
        </w:rPr>
        <w:t>1283.63</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51.35</w:t>
      </w:r>
      <w:r>
        <w:rPr>
          <w:rFonts w:hint="eastAsia" w:ascii="仿宋_GB2312" w:hAnsi="仿宋_GB2312" w:eastAsia="仿宋_GB2312" w:cs="仿宋_GB2312"/>
          <w:color w:val="auto"/>
          <w:sz w:val="32"/>
          <w:szCs w:val="32"/>
        </w:rPr>
        <w:t>%，指标分值</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5.13</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51.3</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89.3</w:t>
      </w:r>
      <w:r>
        <w:rPr>
          <w:rFonts w:hint="eastAsia" w:ascii="仿宋_GB2312" w:hAnsi="仿宋_GB2312" w:eastAsia="仿宋_GB2312" w:cs="仿宋_GB2312"/>
          <w:color w:val="auto"/>
          <w:sz w:val="32"/>
          <w:szCs w:val="32"/>
        </w:rPr>
        <w:t>分，自评结果为“</w:t>
      </w:r>
      <w:r>
        <w:rPr>
          <w:rFonts w:hint="eastAsia" w:cs="仿宋_GB2312"/>
          <w:color w:val="auto"/>
          <w:sz w:val="32"/>
          <w:szCs w:val="32"/>
          <w:lang w:val="en-US" w:eastAsia="zh-CN"/>
        </w:rPr>
        <w:t>良</w:t>
      </w:r>
      <w:r>
        <w:rPr>
          <w:rFonts w:hint="eastAsia" w:ascii="仿宋_GB2312" w:hAnsi="仿宋_GB2312" w:eastAsia="仿宋_GB2312" w:cs="仿宋_GB2312"/>
          <w:color w:val="auto"/>
          <w:sz w:val="32"/>
          <w:szCs w:val="32"/>
        </w:rPr>
        <w:t>”。主要任务完成情况分析如下：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根据杂志社工作进度，按季度实施计划。一般公共预算财政拨款项目支出1589.1694万元。全面准确、系统深入开展全省学习贯彻党的二十大精神的宣传报道工作，作为首要政治任务和长期战略任务，把握总体要求，突出宣传重点，创新报道方式，提升宣传效果。提高政治站位，努力提高刊物覆盖面、影响力和知晓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2025年杂志社办刊补助项目支出，根据年初工作计划及实际工作开展情况，按季度实施计划，全年办刊补助项目支出共计1283.63万元。主要完成的工作有：坚持以推动宣传思想文化工作高质量发展为切口，紧盯服务保障“围绕中心、服务大局”这个关键精准发力，不断加强党的建设，持续提高政治家办刊水平，夯实做好新时代宣传思想工作的政治基础，使党建工作与业务工作实现了互融互促。一是强化理论武装。始终把学习贯彻习近平新时代中国特色社会主义思想作为首要政治任务，将习近平总书记重要讲话重要指示精神与《习近平谈治国理政》第一至五卷、党的二十大和二十届历次全会精神一体贯通学习</w:t>
      </w:r>
      <w:r>
        <w:rPr>
          <w:rFonts w:hint="eastAsia" w:cs="仿宋_GB2312"/>
          <w:color w:val="auto"/>
          <w:sz w:val="32"/>
          <w:szCs w:val="32"/>
          <w:lang w:eastAsia="zh-CN"/>
        </w:rPr>
        <w:t>。</w:t>
      </w:r>
      <w:r>
        <w:rPr>
          <w:rFonts w:hint="eastAsia" w:ascii="仿宋_GB2312" w:hAnsi="仿宋_GB2312" w:eastAsia="仿宋_GB2312" w:cs="仿宋_GB2312"/>
          <w:color w:val="auto"/>
          <w:sz w:val="32"/>
          <w:szCs w:val="32"/>
        </w:rPr>
        <w:t>二是规范支部工作。及时将中央、省委最新决策部署和部务会有关要求纳入“三会一课”、主题党日活动，第一时间传达学习、研究部署、抓好落实，支部活动线上达标率 100%。三是改进工作作风。组织党员深入学习《习近平关于加强党的作风建设论述摘编》等重要书目，以及中央八项规定及其实施细则等重要文件，结合典型案例开展警示教育，引导党员增强规矩意识、提高拒腐防变能力。严格落实“过紧日子”要求，在省委第二集中办公区整体搬迁工作中，坚持“有旧用旧”原则，不借机调换升级，并将闲置冗余资产提交平台流转；调整报刊订阅方式，设立公共阅读区，优化重点份额配置，节约经费近万元；压缩培训天数，节约经费近 2 万元。四是扎实做好办刊工作。及时调整栏目布局，加强理论栏目主题性、系列性建设，用好“专家视角”“经济观察”等理论栏目，精心打造“深入学习贯彻习近平新时代中国特色社会主义思想”“学习贯彻党的二十届三中全会精神”“牢记嘱托 奋力谱写中国式现代化甘肃篇章”“锲而不舍落实中央八项规定精神”等特色专栏，全年累计刊发各类理论文章 60 余篇。五是全面做好发行工作。坚决贯彻中央关于党报党刊要“不断扩大地域覆盖面、人群覆盖面、内容覆盖面”精神，认真落实省委对重点党报党刊规范发行的具体工作要求，2025 年度发行数与上一年度基本持平，杂志款回收率达 95%，高于上年同期。六是加强制度建设。修订完善《“三重一大”决策制度实施细则》《公务用车管理办法》《理论学习制度》《社聘人员管理办法》《合同管理办法》《采购管理办法》《国有资产管理办法》《帮扶工作队管理办法》等，启动《绩效考核办法》修订工作。七是严格财务管理。配合做好 2024 年内部审计，完成2024 年度决算、2025 年预算批复和公开，开展 2026 年度部门预算编制、印刷费及邮寄费政府采购，财务管理安全有序。八是认真做好工会工作。积极开展“月读一本书”“陪家人看电影”“生日关爱”“消费帮扶”等活动，落实传统节日、生病住院、婚丧嫁娶等慰问政策，配合做好省直机关基层工会经费审计，严格经费管理。九是帮扶工作。持续开展冬季送温暖暨春节帮扶慰问活动、助学奖学活动及生态林项目建设工作。十是文稿材料及后勤保障工作。严格落实“零延误、零差错”要求，公文处理运转及时高效；高质量完成年度工作报告、请示汇报、通知函件等起草工作，全年办理各类文稿 500 余件；召开保密工作专题会议，压紧压实保密责任。</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39</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97.5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jc w:val="left"/>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rPr>
        <w:t>年度</w:t>
      </w:r>
      <w:r>
        <w:rPr>
          <w:rFonts w:hint="eastAsia" w:ascii="仿宋_GB2312" w:hAnsi="仿宋_GB2312" w:eastAsia="仿宋_GB2312" w:cs="仿宋_GB2312"/>
          <w:color w:val="auto"/>
          <w:sz w:val="32"/>
          <w:szCs w:val="32"/>
          <w:lang w:val="en-US" w:eastAsia="zh-CN" w:bidi="ar"/>
        </w:rPr>
        <w:t>刊物印刷、邮寄数量达到399.6万册</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年度邮寄刊物质量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杂志出版质量</w:t>
      </w:r>
      <w:r>
        <w:rPr>
          <w:rFonts w:hint="eastAsia" w:ascii="仿宋_GB2312" w:hAnsi="仿宋_GB2312" w:eastAsia="仿宋_GB2312" w:cs="仿宋_GB2312"/>
          <w:color w:val="auto"/>
          <w:sz w:val="32"/>
          <w:szCs w:val="32"/>
          <w:lang w:eastAsia="zh-CN"/>
        </w:rPr>
        <w:t>均达到预期目标值。</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年度刊物的出版、</w:t>
      </w:r>
      <w:r>
        <w:rPr>
          <w:rFonts w:hint="eastAsia" w:ascii="仿宋_GB2312" w:hAnsi="仿宋_GB2312" w:eastAsia="仿宋_GB2312" w:cs="仿宋_GB2312"/>
          <w:color w:val="auto"/>
          <w:sz w:val="32"/>
          <w:szCs w:val="32"/>
          <w:lang w:eastAsia="zh-CN"/>
        </w:rPr>
        <w:t>发行</w:t>
      </w:r>
      <w:r>
        <w:rPr>
          <w:rFonts w:hint="eastAsia" w:ascii="仿宋_GB2312" w:hAnsi="仿宋_GB2312" w:eastAsia="仿宋_GB2312" w:cs="仿宋_GB2312"/>
          <w:color w:val="auto"/>
          <w:sz w:val="32"/>
          <w:szCs w:val="32"/>
        </w:rPr>
        <w:t>、印刷、邮寄等工作均在规定时间内完成，各项指标均达到了目标值。指标分值合计</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18.5</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92.5</w:t>
      </w:r>
      <w:r>
        <w:rPr>
          <w:rFonts w:hint="eastAsia" w:ascii="仿宋_GB2312" w:hAnsi="仿宋_GB2312" w:eastAsia="仿宋_GB2312" w:cs="仿宋_GB2312"/>
          <w:color w:val="auto"/>
          <w:sz w:val="32"/>
          <w:szCs w:val="32"/>
          <w:lang w:bidi="ar"/>
        </w:rPr>
        <w:t>%。指标分析如下：</w:t>
      </w:r>
    </w:p>
    <w:p>
      <w:pPr>
        <w:pStyle w:val="1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color w:val="auto"/>
          <w:sz w:val="32"/>
          <w:szCs w:val="32"/>
          <w:lang w:bidi="ar"/>
        </w:rPr>
        <w:t>该专项资金的实施，使社会公众及时了解掌握中央和省委的重大决策部署以及党的理论创新成果，提高了社会公众的理论水平和形势政策水平</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bidi="ar"/>
        </w:rPr>
        <w:t>社会公众知晓率</w:t>
      </w:r>
      <w:r>
        <w:rPr>
          <w:rFonts w:hint="eastAsia" w:ascii="仿宋_GB2312" w:hAnsi="仿宋_GB2312" w:eastAsia="仿宋_GB2312" w:cs="仿宋_GB2312"/>
          <w:color w:val="auto"/>
          <w:sz w:val="32"/>
          <w:szCs w:val="32"/>
          <w:lang w:eastAsia="zh-CN" w:bidi="ar"/>
        </w:rPr>
        <w:t>和刊物覆盖面</w:t>
      </w:r>
      <w:r>
        <w:rPr>
          <w:rFonts w:hint="eastAsia" w:ascii="仿宋_GB2312" w:hAnsi="仿宋_GB2312" w:eastAsia="仿宋_GB2312" w:cs="仿宋_GB2312"/>
          <w:color w:val="auto"/>
          <w:sz w:val="32"/>
          <w:szCs w:val="32"/>
          <w:lang w:bidi="ar"/>
        </w:rPr>
        <w:t>为</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bidi="ar"/>
        </w:rPr>
        <w:t>%，达到了预期目标值。社会效益指标分值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18.5</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92.5</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《党的建设》杂志</w:t>
      </w:r>
      <w:r>
        <w:rPr>
          <w:rFonts w:hint="eastAsia" w:ascii="仿宋_GB2312" w:hAnsi="仿宋_GB2312" w:eastAsia="仿宋_GB2312" w:cs="仿宋_GB2312"/>
          <w:color w:val="auto"/>
          <w:sz w:val="32"/>
          <w:szCs w:val="32"/>
          <w:lang w:eastAsia="zh-CN"/>
        </w:rPr>
        <w:t>办刊质量好</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党政机关</w:t>
      </w:r>
      <w:r>
        <w:rPr>
          <w:rFonts w:hint="eastAsia" w:ascii="仿宋_GB2312" w:hAnsi="仿宋_GB2312" w:eastAsia="仿宋_GB2312" w:cs="仿宋_GB2312"/>
          <w:color w:val="auto"/>
          <w:sz w:val="32"/>
          <w:szCs w:val="32"/>
        </w:rPr>
        <w:t>征订积极性高，刊物邮发之后未收到任何投诉意见，</w:t>
      </w:r>
      <w:r>
        <w:rPr>
          <w:rFonts w:hint="eastAsia" w:ascii="仿宋_GB2312" w:hAnsi="仿宋_GB2312" w:eastAsia="仿宋_GB2312" w:cs="仿宋_GB2312"/>
          <w:color w:val="auto"/>
          <w:sz w:val="32"/>
          <w:szCs w:val="32"/>
          <w:lang w:eastAsia="zh-CN"/>
        </w:rPr>
        <w:t>客户</w:t>
      </w:r>
      <w:r>
        <w:rPr>
          <w:rFonts w:hint="eastAsia" w:ascii="仿宋_GB2312" w:hAnsi="仿宋_GB2312" w:eastAsia="仿宋_GB2312" w:cs="仿宋_GB2312"/>
          <w:color w:val="auto"/>
          <w:sz w:val="32"/>
          <w:szCs w:val="32"/>
        </w:rPr>
        <w:t>满意度达到</w:t>
      </w:r>
      <w:r>
        <w:rPr>
          <w:rFonts w:hint="eastAsia" w:ascii="仿宋_GB2312" w:hAnsi="仿宋_GB2312" w:eastAsia="仿宋_GB2312" w:cs="仿宋_GB2312"/>
          <w:color w:val="auto"/>
          <w:sz w:val="32"/>
          <w:szCs w:val="32"/>
          <w:lang w:val="en-US" w:eastAsia="zh-CN"/>
        </w:rPr>
        <w:t>98</w:t>
      </w:r>
      <w:r>
        <w:rPr>
          <w:rFonts w:hint="eastAsia" w:ascii="仿宋_GB2312" w:hAnsi="仿宋_GB2312" w:eastAsia="仿宋_GB2312" w:cs="仿宋_GB2312"/>
          <w:color w:val="auto"/>
          <w:sz w:val="32"/>
          <w:szCs w:val="32"/>
        </w:rPr>
        <w:t>%。满意度指标分值10分，按评分标准得10分，得分率100%。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社会成本指标1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val="en-US" w:eastAsia="zh-CN" w:bidi="ar"/>
        </w:rPr>
        <w:t>生态成本指标1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val="en-US" w:eastAsia="zh-CN" w:bidi="ar"/>
        </w:rPr>
        <w:t>每个二级指标均有一个三级指标</w:t>
      </w:r>
      <w:r>
        <w:rPr>
          <w:rFonts w:hint="eastAsia" w:cs="仿宋_GB2312"/>
          <w:color w:val="auto"/>
          <w:sz w:val="32"/>
          <w:szCs w:val="32"/>
          <w:lang w:val="en-US" w:eastAsia="zh-CN" w:bidi="ar"/>
        </w:rPr>
        <w:t>。</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16.66</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83.3</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lang w:val="en-US" w:eastAsia="zh-CN"/>
        </w:rPr>
        <w:t>社会成本指标、生态成本指标</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2499.34</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，社会责任的履行情况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对环境的污染</w:t>
      </w:r>
      <w:r>
        <w:rPr>
          <w:rFonts w:hint="eastAsia" w:cs="仿宋_GB2312"/>
          <w:color w:val="auto"/>
          <w:sz w:val="32"/>
          <w:szCs w:val="32"/>
          <w:lang w:val="en-US" w:eastAsia="zh-CN"/>
        </w:rPr>
        <w:t>控制值</w:t>
      </w:r>
      <w:r>
        <w:rPr>
          <w:rFonts w:hint="eastAsia" w:ascii="仿宋_GB2312" w:hAnsi="仿宋_GB2312" w:eastAsia="仿宋_GB2312" w:cs="仿宋_GB2312"/>
          <w:color w:val="auto"/>
          <w:sz w:val="32"/>
          <w:szCs w:val="32"/>
          <w:lang w:val="en-US" w:eastAsia="zh-CN"/>
        </w:rPr>
        <w:t>均</w:t>
      </w:r>
      <w:r>
        <w:rPr>
          <w:rFonts w:hint="eastAsia" w:ascii="仿宋_GB2312" w:hAnsi="仿宋_GB2312" w:eastAsia="仿宋_GB2312" w:cs="仿宋_GB2312"/>
          <w:color w:val="auto"/>
          <w:sz w:val="32"/>
          <w:szCs w:val="32"/>
        </w:rPr>
        <w:t>达到预期目标值</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16.66</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83.3</w:t>
      </w:r>
      <w:r>
        <w:rPr>
          <w:rFonts w:hint="eastAsia" w:ascii="仿宋_GB2312" w:hAnsi="仿宋_GB2312" w:eastAsia="仿宋_GB2312" w:cs="仿宋_GB2312"/>
          <w:color w:val="auto"/>
          <w:sz w:val="32"/>
          <w:szCs w:val="32"/>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偏离绩效目标的原因及下一步改进措施</w:t>
      </w:r>
      <w:bookmarkStart w:id="78" w:name="_Toc30565"/>
    </w:p>
    <w:bookmarkEnd w:id="78"/>
    <w:p>
      <w:pPr>
        <w:keepNext w:val="0"/>
        <w:keepLines w:val="0"/>
        <w:pageBreakBefore w:val="0"/>
        <w:widowControl w:val="0"/>
        <w:numPr>
          <w:ilvl w:val="0"/>
          <w:numId w:val="0"/>
        </w:numPr>
        <w:kinsoku/>
        <w:wordWrap/>
        <w:overflowPunct/>
        <w:topLinePunct w:val="0"/>
        <w:autoSpaceDE/>
        <w:autoSpaceDN/>
        <w:bidi w:val="0"/>
        <w:adjustRightInd/>
        <w:spacing w:line="580" w:lineRule="exact"/>
        <w:ind w:firstLine="643" w:firstLineChars="200"/>
        <w:textAlignment w:val="auto"/>
        <w:rPr>
          <w:rFonts w:hint="eastAsia" w:ascii="仿宋_GB2312" w:hAnsi="仿宋_GB2312" w:eastAsia="仿宋_GB2312" w:cs="仿宋_GB2312"/>
          <w:lang w:val="en-US" w:eastAsia="zh-CN"/>
        </w:rPr>
      </w:pPr>
      <w:bookmarkStart w:id="79" w:name="_Toc5853"/>
      <w:r>
        <w:rPr>
          <w:rFonts w:hint="eastAsia" w:cs="仿宋_GB2312"/>
          <w:b/>
          <w:bCs/>
          <w:color w:val="auto"/>
          <w:sz w:val="32"/>
          <w:lang w:val="en-US" w:eastAsia="zh-CN"/>
        </w:rPr>
        <w:t>预算执行率偏低。</w:t>
      </w:r>
      <w:r>
        <w:rPr>
          <w:rFonts w:hint="eastAsia" w:ascii="仿宋_GB2312" w:hAnsi="仿宋_GB2312" w:eastAsia="仿宋_GB2312" w:cs="仿宋_GB2312"/>
          <w:color w:val="auto"/>
          <w:sz w:val="32"/>
          <w:lang w:val="en-US" w:eastAsia="zh-CN"/>
        </w:rPr>
        <w:t>主要原因：</w:t>
      </w:r>
      <w:r>
        <w:rPr>
          <w:rFonts w:hint="eastAsia" w:ascii="仿宋_GB2312" w:hAnsi="仿宋_GB2312" w:eastAsia="仿宋_GB2312" w:cs="仿宋_GB2312"/>
          <w:b/>
          <w:bCs/>
          <w:color w:val="auto"/>
          <w:sz w:val="32"/>
          <w:highlight w:val="none"/>
          <w:lang w:val="en-US" w:eastAsia="zh-CN"/>
        </w:rPr>
        <w:t>一是</w:t>
      </w:r>
      <w:r>
        <w:rPr>
          <w:rFonts w:hint="eastAsia" w:ascii="仿宋_GB2312" w:hAnsi="仿宋_GB2312" w:eastAsia="仿宋_GB2312" w:cs="仿宋_GB2312"/>
          <w:color w:val="auto"/>
          <w:sz w:val="32"/>
          <w:highlight w:val="none"/>
          <w:lang w:val="en-US" w:eastAsia="zh-CN"/>
        </w:rPr>
        <w:t>用上年结转资金支付印刷费、邮寄费等较多，导致当年预算执行率偏低。</w:t>
      </w:r>
      <w:r>
        <w:rPr>
          <w:rFonts w:hint="eastAsia" w:ascii="仿宋_GB2312" w:hAnsi="仿宋_GB2312" w:eastAsia="仿宋_GB2312" w:cs="仿宋_GB2312"/>
          <w:b/>
          <w:bCs/>
          <w:color w:val="auto"/>
          <w:sz w:val="32"/>
          <w:highlight w:val="none"/>
          <w:lang w:val="en-US" w:eastAsia="zh-CN"/>
        </w:rPr>
        <w:t>二是</w:t>
      </w:r>
      <w:r>
        <w:rPr>
          <w:rFonts w:hint="eastAsia" w:ascii="仿宋_GB2312" w:hAnsi="仿宋_GB2312" w:eastAsia="仿宋_GB2312" w:cs="仿宋_GB2312"/>
          <w:color w:val="auto"/>
          <w:sz w:val="32"/>
          <w:highlight w:val="none"/>
          <w:lang w:val="en-US" w:eastAsia="zh-CN"/>
        </w:rPr>
        <w:t>部分重点工作延续下一年度开展，经费需结转下一年度继续使用。</w:t>
      </w:r>
      <w:r>
        <w:rPr>
          <w:rFonts w:hint="eastAsia" w:ascii="仿宋_GB2312" w:hAnsi="仿宋_GB2312" w:eastAsia="仿宋_GB2312" w:cs="仿宋_GB2312"/>
          <w:b w:val="0"/>
          <w:bCs w:val="0"/>
          <w:color w:val="auto"/>
          <w:sz w:val="32"/>
          <w:highlight w:val="none"/>
          <w:lang w:val="en-US" w:eastAsia="zh-CN"/>
        </w:rPr>
        <w:t>三</w:t>
      </w:r>
      <w:r>
        <w:rPr>
          <w:rFonts w:hint="eastAsia" w:ascii="仿宋_GB2312" w:hAnsi="仿宋_GB2312" w:eastAsia="仿宋_GB2312" w:cs="仿宋_GB2312"/>
          <w:b/>
          <w:bCs/>
          <w:color w:val="auto"/>
          <w:sz w:val="32"/>
          <w:highlight w:val="none"/>
          <w:lang w:val="en-US" w:eastAsia="zh-CN"/>
        </w:rPr>
        <w:t>是</w:t>
      </w:r>
      <w:r>
        <w:rPr>
          <w:rFonts w:hint="eastAsia" w:ascii="仿宋_GB2312" w:hAnsi="仿宋_GB2312" w:eastAsia="仿宋_GB2312" w:cs="仿宋_GB2312"/>
          <w:color w:val="auto"/>
          <w:sz w:val="32"/>
          <w:highlight w:val="none"/>
          <w:lang w:val="en-US" w:eastAsia="zh-CN"/>
        </w:rPr>
        <w:t>办刊工作属于连续性项目，印刷费、邮寄费等支出受市场因素较大，必须留有上浮空间，支出预算无法达到100%。</w:t>
      </w:r>
      <w:r>
        <w:rPr>
          <w:rFonts w:hint="eastAsia" w:cs="仿宋_GB2312"/>
          <w:color w:val="auto"/>
          <w:sz w:val="32"/>
          <w:highlight w:val="none"/>
          <w:lang w:val="en-US" w:eastAsia="zh-CN"/>
        </w:rPr>
        <w:t>下一步</w:t>
      </w:r>
      <w:r>
        <w:rPr>
          <w:rFonts w:hint="eastAsia" w:ascii="仿宋_GB2312" w:hAnsi="仿宋_GB2312" w:eastAsia="仿宋_GB2312" w:cs="仿宋_GB2312"/>
          <w:color w:val="auto"/>
          <w:sz w:val="32"/>
          <w:highlight w:val="none"/>
          <w:lang w:val="en-US" w:eastAsia="zh-CN"/>
        </w:rPr>
        <w:t>，我</w:t>
      </w:r>
      <w:r>
        <w:rPr>
          <w:rFonts w:hint="eastAsia" w:cs="仿宋_GB2312"/>
          <w:color w:val="auto"/>
          <w:sz w:val="32"/>
          <w:highlight w:val="none"/>
          <w:lang w:val="en-US" w:eastAsia="zh-CN"/>
        </w:rPr>
        <w:t>部</w:t>
      </w:r>
      <w:r>
        <w:rPr>
          <w:rFonts w:hint="eastAsia" w:ascii="仿宋_GB2312" w:hAnsi="仿宋_GB2312" w:eastAsia="仿宋_GB2312" w:cs="仿宋_GB2312"/>
          <w:color w:val="auto"/>
          <w:sz w:val="32"/>
          <w:highlight w:val="none"/>
          <w:lang w:val="en-US" w:eastAsia="zh-CN"/>
        </w:rPr>
        <w:t>将进一步加强绩效管理，科学、合理、规范设置绩效目标，加快</w:t>
      </w:r>
      <w:r>
        <w:rPr>
          <w:rFonts w:hint="eastAsia" w:cs="仿宋_GB2312"/>
          <w:color w:val="auto"/>
          <w:sz w:val="32"/>
          <w:highlight w:val="none"/>
          <w:lang w:val="en-US" w:eastAsia="zh-CN"/>
        </w:rPr>
        <w:t>资金</w:t>
      </w:r>
      <w:r>
        <w:rPr>
          <w:rFonts w:hint="eastAsia" w:ascii="仿宋_GB2312" w:hAnsi="仿宋_GB2312" w:eastAsia="仿宋_GB2312" w:cs="仿宋_GB2312"/>
          <w:color w:val="auto"/>
          <w:sz w:val="32"/>
          <w:highlight w:val="none"/>
          <w:lang w:val="en-US" w:eastAsia="zh-CN"/>
        </w:rPr>
        <w:t>支出进度，</w:t>
      </w:r>
      <w:r>
        <w:rPr>
          <w:rFonts w:hint="eastAsia" w:cs="仿宋_GB2312"/>
          <w:color w:val="auto"/>
          <w:sz w:val="32"/>
          <w:highlight w:val="none"/>
          <w:lang w:val="en-US" w:eastAsia="zh-CN"/>
        </w:rPr>
        <w:t>强化预算执行管控，</w:t>
      </w:r>
      <w:r>
        <w:rPr>
          <w:rFonts w:hint="eastAsia" w:ascii="仿宋_GB2312" w:hAnsi="仿宋_GB2312" w:eastAsia="仿宋_GB2312" w:cs="仿宋_GB2312"/>
          <w:color w:val="auto"/>
          <w:sz w:val="32"/>
          <w:highlight w:val="none"/>
          <w:lang w:val="en-US" w:eastAsia="zh-CN"/>
        </w:rPr>
        <w:t>提升资金使用效益</w:t>
      </w:r>
      <w:r>
        <w:rPr>
          <w:rFonts w:hint="eastAsia" w:ascii="仿宋_GB2312" w:hAnsi="仿宋_GB2312" w:eastAsia="仿宋_GB2312" w:cs="仿宋_GB2312"/>
          <w:sz w:val="32"/>
          <w:szCs w:val="32"/>
          <w:highlight w:val="none"/>
          <w:lang w:val="en-US" w:eastAsia="zh-CN"/>
        </w:rPr>
        <w:t>。</w:t>
      </w:r>
    </w:p>
    <w:p>
      <w:pPr>
        <w:pStyle w:val="5"/>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人才发展专项</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人才发展专项</w:t>
      </w:r>
      <w:r>
        <w:rPr>
          <w:rFonts w:hint="eastAsia" w:ascii="仿宋_GB2312" w:hAnsi="仿宋_GB2312" w:eastAsia="仿宋_GB2312" w:cs="仿宋_GB2312"/>
          <w:color w:val="auto"/>
          <w:sz w:val="32"/>
          <w:szCs w:val="32"/>
        </w:rPr>
        <w:t>全年预算数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万元，预算执行率100%，指标分值10分，按评分标准得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90.8</w:t>
      </w:r>
      <w:r>
        <w:rPr>
          <w:rFonts w:hint="eastAsia" w:ascii="仿宋_GB2312" w:hAnsi="仿宋_GB2312" w:eastAsia="仿宋_GB2312" w:cs="仿宋_GB2312"/>
          <w:color w:val="auto"/>
          <w:sz w:val="32"/>
          <w:szCs w:val="32"/>
        </w:rPr>
        <w:t>分，自评结果为“</w:t>
      </w:r>
      <w:r>
        <w:rPr>
          <w:rFonts w:hint="eastAsia" w:ascii="仿宋_GB2312" w:hAnsi="仿宋_GB2312" w:eastAsia="仿宋_GB2312" w:cs="仿宋_GB2312"/>
          <w:color w:val="auto"/>
          <w:sz w:val="32"/>
          <w:szCs w:val="32"/>
          <w:lang w:val="en-US" w:eastAsia="zh-CN"/>
        </w:rPr>
        <w:t>优</w:t>
      </w:r>
      <w:r>
        <w:rPr>
          <w:rFonts w:hint="eastAsia" w:ascii="仿宋_GB2312" w:hAnsi="仿宋_GB2312" w:eastAsia="仿宋_GB2312" w:cs="仿宋_GB2312"/>
          <w:color w:val="auto"/>
          <w:sz w:val="32"/>
          <w:szCs w:val="32"/>
        </w:rPr>
        <w:t>”。主要任务完成情况分析如下：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b w:val="0"/>
          <w:bCs w:val="0"/>
          <w:color w:val="auto"/>
          <w:sz w:val="32"/>
          <w:szCs w:val="32"/>
          <w:highlight w:val="none"/>
        </w:rPr>
        <w:t>支持重点人才项目、陇原青年创新创业人才团队项目、个人项目160项左右，培养扶持拔尖领军人才120人左右，支持建设人才培训、培养、实训基地，加大培养引</w:t>
      </w:r>
      <w:r>
        <w:rPr>
          <w:rFonts w:hint="eastAsia" w:ascii="仿宋_GB2312" w:hAnsi="仿宋_GB2312" w:eastAsia="仿宋_GB2312" w:cs="仿宋_GB2312"/>
          <w:b w:val="0"/>
          <w:bCs w:val="0"/>
          <w:color w:val="auto"/>
          <w:sz w:val="32"/>
          <w:szCs w:val="32"/>
        </w:rPr>
        <w:t>进人才团队力度，积极培养各领域专业技术人才，加强引进人才（含聘请专家、柔性引进人才），继续支持开发新产品、新技术、新工艺，推动新增就业岗位，增加带动农户数量，建设特色产业生产示范（孵化）基地，项目实施对绿色生态产业的支撑和引领作用更加明显，项目实施对项目实施单位人才队伍建设的促进作用更加明显，项目实施对地区经济社会发展能力的支撑作用更加明显。</w:t>
      </w:r>
      <w:r>
        <w:rPr>
          <w:rFonts w:hint="eastAsia" w:ascii="仿宋_GB2312" w:hAnsi="仿宋_GB2312" w:eastAsia="仿宋_GB2312" w:cs="仿宋_GB2312"/>
          <w:b/>
          <w:bCs/>
          <w:color w:val="auto"/>
          <w:sz w:val="32"/>
          <w:szCs w:val="32"/>
        </w:rPr>
        <w:t>（该目标为省委组织部下达</w:t>
      </w:r>
      <w:r>
        <w:rPr>
          <w:rFonts w:hint="eastAsia" w:cs="仿宋_GB2312"/>
          <w:b/>
          <w:bCs/>
          <w:color w:val="auto"/>
          <w:sz w:val="32"/>
          <w:szCs w:val="32"/>
          <w:lang w:val="en-US" w:eastAsia="zh-CN"/>
        </w:rPr>
        <w:t>资金</w:t>
      </w:r>
      <w:r>
        <w:rPr>
          <w:rFonts w:hint="eastAsia" w:ascii="仿宋_GB2312" w:hAnsi="仿宋_GB2312" w:eastAsia="仿宋_GB2312" w:cs="仿宋_GB2312"/>
          <w:b/>
          <w:bCs/>
          <w:color w:val="auto"/>
          <w:sz w:val="32"/>
          <w:szCs w:val="32"/>
        </w:rPr>
        <w:t>时制定的包括各单位</w:t>
      </w:r>
      <w:r>
        <w:rPr>
          <w:rFonts w:hint="eastAsia" w:cs="仿宋_GB2312"/>
          <w:b/>
          <w:bCs/>
          <w:color w:val="auto"/>
          <w:sz w:val="32"/>
          <w:szCs w:val="32"/>
          <w:lang w:val="en-US" w:eastAsia="zh-CN"/>
        </w:rPr>
        <w:t>目标在内</w:t>
      </w:r>
      <w:r>
        <w:rPr>
          <w:rFonts w:hint="eastAsia" w:ascii="仿宋_GB2312" w:hAnsi="仿宋_GB2312" w:eastAsia="仿宋_GB2312" w:cs="仿宋_GB2312"/>
          <w:b/>
          <w:bCs/>
          <w:color w:val="auto"/>
          <w:sz w:val="32"/>
          <w:szCs w:val="32"/>
        </w:rPr>
        <w:t>的总体目标）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文艺陇军”师徒传承项目经组织申报、汇总复审、专家评审、部务会会议研究等程序确定5个立项资助项目，每个项目给予10万元的经费资助。全省宣传思想文化人才原创成果资助项目经组织申报、汇总复审、专家评审、部务会会议研究等程序确定8个立项资助项目，每个项目给予5—10万元的经费资助。</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34.8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97.5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jc w:val="left"/>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val="en-US" w:eastAsia="zh-CN" w:bidi="ar"/>
        </w:rPr>
        <w:t>评选</w:t>
      </w:r>
      <w:r>
        <w:rPr>
          <w:rFonts w:hint="eastAsia" w:ascii="仿宋_GB2312" w:hAnsi="仿宋_GB2312" w:eastAsia="仿宋_GB2312" w:cs="仿宋_GB2312"/>
          <w:color w:val="auto"/>
          <w:sz w:val="32"/>
          <w:szCs w:val="32"/>
          <w:lang w:bidi="ar"/>
        </w:rPr>
        <w:t>“文艺陇军”师徒传承行动资助项目</w:t>
      </w:r>
      <w:r>
        <w:rPr>
          <w:rFonts w:hint="eastAsia" w:ascii="仿宋_GB2312" w:hAnsi="仿宋_GB2312" w:eastAsia="仿宋_GB2312" w:cs="仿宋_GB2312"/>
          <w:color w:val="auto"/>
          <w:sz w:val="32"/>
          <w:szCs w:val="32"/>
          <w:lang w:val="en-US" w:eastAsia="zh-CN" w:bidi="ar"/>
        </w:rPr>
        <w:t>5个、甘肃省宣传思想文化人才原创成果资助项目8个</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15</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83.34</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项目实施对项目实施单位人才队伍建设的促进作用</w:t>
      </w:r>
      <w:r>
        <w:rPr>
          <w:rFonts w:hint="eastAsia" w:ascii="仿宋_GB2312" w:hAnsi="仿宋_GB2312" w:eastAsia="仿宋_GB2312" w:cs="仿宋_GB2312"/>
          <w:color w:val="auto"/>
          <w:sz w:val="32"/>
          <w:szCs w:val="32"/>
          <w:lang w:eastAsia="zh-CN"/>
        </w:rPr>
        <w:t>达到预期目标值。</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9.9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lang w:val="en-US" w:eastAsia="zh-CN"/>
        </w:rPr>
        <w:t>各项</w:t>
      </w:r>
      <w:r>
        <w:rPr>
          <w:rFonts w:hint="eastAsia" w:ascii="仿宋_GB2312" w:hAnsi="仿宋_GB2312" w:eastAsia="仿宋_GB2312" w:cs="仿宋_GB2312"/>
          <w:color w:val="auto"/>
          <w:sz w:val="32"/>
          <w:szCs w:val="32"/>
        </w:rPr>
        <w:t>工作均在规定时间内完成，各项指标均达到了目标值。指标分值合计</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9.9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pStyle w:val="1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color w:val="auto"/>
          <w:sz w:val="32"/>
          <w:szCs w:val="32"/>
          <w:lang w:bidi="ar"/>
        </w:rPr>
        <w:t>该专项资金的实施，</w:t>
      </w:r>
      <w:r>
        <w:rPr>
          <w:rFonts w:hint="eastAsia" w:ascii="仿宋_GB2312" w:hAnsi="仿宋_GB2312" w:eastAsia="仿宋_GB2312" w:cs="仿宋_GB2312"/>
          <w:color w:val="auto"/>
          <w:sz w:val="32"/>
          <w:szCs w:val="32"/>
          <w:lang w:val="en-US" w:eastAsia="zh-CN" w:bidi="ar"/>
        </w:rPr>
        <w:t>有效提升了</w:t>
      </w:r>
      <w:r>
        <w:rPr>
          <w:rFonts w:hint="eastAsia" w:ascii="仿宋_GB2312" w:hAnsi="仿宋_GB2312" w:eastAsia="仿宋_GB2312" w:cs="仿宋_GB2312"/>
          <w:color w:val="auto"/>
          <w:sz w:val="32"/>
          <w:szCs w:val="32"/>
          <w:lang w:bidi="ar"/>
        </w:rPr>
        <w:t>对地区经济社会发展能力的支撑作用，达到了预期目标值。社会效益指标分值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被服务对象满意度达到</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outlineLvl w:val="2"/>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right="0" w:rightChars="0" w:firstLine="643" w:firstLineChars="200"/>
        <w:textAlignment w:val="auto"/>
        <w:outlineLvl w:val="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偏离绩效目标的原因及下一步改进措施</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ascii="仿宋_GB2312" w:hAnsi="仿宋_GB2312" w:eastAsia="仿宋_GB2312" w:cs="仿宋_GB2312"/>
          <w:color w:val="auto"/>
          <w:sz w:val="32"/>
          <w:szCs w:val="32"/>
          <w:lang w:val="en-US" w:eastAsia="zh-CN"/>
        </w:rPr>
        <w:t>主要原因是部分指标年初目标设置不准确，</w:t>
      </w:r>
      <w:r>
        <w:rPr>
          <w:rFonts w:hint="eastAsia" w:ascii="仿宋_GB2312" w:hAnsi="仿宋_GB2312" w:eastAsia="仿宋_GB2312" w:cs="仿宋_GB2312"/>
          <w:color w:val="auto"/>
          <w:sz w:val="32"/>
          <w:szCs w:val="32"/>
          <w:highlight w:val="none"/>
          <w:lang w:val="en-US" w:eastAsia="zh-CN"/>
        </w:rPr>
        <w:t>如</w:t>
      </w:r>
      <w:r>
        <w:rPr>
          <w:rFonts w:hint="eastAsia" w:ascii="仿宋_GB2312" w:hAnsi="仿宋_GB2312" w:eastAsia="仿宋_GB2312" w:cs="仿宋_GB2312"/>
          <w:b w:val="0"/>
          <w:bCs w:val="0"/>
          <w:color w:val="auto"/>
          <w:sz w:val="32"/>
          <w:szCs w:val="32"/>
          <w:highlight w:val="none"/>
        </w:rPr>
        <w:t>甘肃省宣传思想文化人才原创成果资助项目</w:t>
      </w:r>
      <w:r>
        <w:rPr>
          <w:rFonts w:hint="eastAsia" w:ascii="仿宋_GB2312" w:hAnsi="仿宋_GB2312" w:eastAsia="仿宋_GB2312" w:cs="仿宋_GB2312"/>
          <w:color w:val="auto"/>
          <w:sz w:val="32"/>
          <w:szCs w:val="32"/>
          <w:highlight w:val="none"/>
          <w:lang w:val="en-US" w:eastAsia="zh-CN"/>
        </w:rPr>
        <w:t>的实际完成情况超过预期目标的幅度较</w:t>
      </w:r>
      <w:r>
        <w:rPr>
          <w:rFonts w:hint="eastAsia" w:ascii="仿宋_GB2312" w:hAnsi="仿宋_GB2312" w:eastAsia="仿宋_GB2312" w:cs="仿宋_GB2312"/>
          <w:color w:val="auto"/>
          <w:sz w:val="32"/>
          <w:szCs w:val="32"/>
          <w:lang w:val="en-US" w:eastAsia="zh-CN"/>
        </w:rPr>
        <w:t>大。下一步，我部将加强项目前期</w:t>
      </w:r>
      <w:r>
        <w:rPr>
          <w:rFonts w:hint="eastAsia" w:cs="仿宋_GB2312"/>
          <w:color w:val="auto"/>
          <w:sz w:val="32"/>
          <w:szCs w:val="32"/>
          <w:lang w:val="en-US" w:eastAsia="zh-CN"/>
        </w:rPr>
        <w:t>论证</w:t>
      </w:r>
      <w:r>
        <w:rPr>
          <w:rFonts w:hint="eastAsia" w:ascii="仿宋_GB2312" w:hAnsi="仿宋_GB2312" w:eastAsia="仿宋_GB2312" w:cs="仿宋_GB2312"/>
          <w:color w:val="auto"/>
          <w:sz w:val="32"/>
          <w:szCs w:val="32"/>
          <w:lang w:val="en-US" w:eastAsia="zh-CN"/>
        </w:rPr>
        <w:t>，合理设定绩效目标，提升目标</w:t>
      </w:r>
      <w:r>
        <w:rPr>
          <w:rFonts w:hint="eastAsia" w:cs="仿宋_GB2312"/>
          <w:color w:val="auto"/>
          <w:sz w:val="32"/>
          <w:szCs w:val="32"/>
          <w:lang w:val="en-US" w:eastAsia="zh-CN"/>
        </w:rPr>
        <w:t>与实际工作的契合度</w:t>
      </w:r>
      <w:r>
        <w:rPr>
          <w:rFonts w:hint="eastAsia" w:ascii="仿宋_GB2312" w:hAnsi="仿宋_GB2312" w:eastAsia="仿宋_GB2312" w:cs="仿宋_GB2312"/>
          <w:color w:val="auto"/>
          <w:sz w:val="32"/>
          <w:szCs w:val="32"/>
          <w:lang w:val="en-US" w:eastAsia="zh-CN"/>
        </w:rPr>
        <w:t>。</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十</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1</w:t>
      </w:r>
      <w:bookmarkEnd w:id="79"/>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敦煌文艺奖评选经费</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敦煌文艺奖评选经费项目全年预算数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200</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200</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%，指标分值10分，按评分标准得10分，得分率</w:t>
      </w:r>
      <w:r>
        <w:rPr>
          <w:rFonts w:hint="eastAsia" w:cs="仿宋_GB2312"/>
          <w:color w:val="auto"/>
          <w:sz w:val="32"/>
          <w:szCs w:val="32"/>
          <w:lang w:val="en-US" w:eastAsia="zh-CN"/>
        </w:rPr>
        <w:t>10</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96</w:t>
      </w:r>
      <w:r>
        <w:rPr>
          <w:rFonts w:hint="eastAsia" w:ascii="仿宋_GB2312" w:hAnsi="仿宋_GB2312" w:eastAsia="仿宋_GB2312" w:cs="仿宋_GB2312"/>
          <w:color w:val="auto"/>
          <w:sz w:val="32"/>
          <w:szCs w:val="32"/>
        </w:rPr>
        <w:t>分，自评结果为“</w:t>
      </w:r>
      <w:r>
        <w:rPr>
          <w:rFonts w:hint="eastAsia" w:ascii="仿宋_GB2312" w:hAnsi="仿宋_GB2312" w:eastAsia="仿宋_GB2312" w:cs="仿宋_GB2312"/>
          <w:color w:val="auto"/>
          <w:sz w:val="32"/>
          <w:szCs w:val="32"/>
          <w:lang w:val="en-US" w:eastAsia="zh-CN"/>
        </w:rPr>
        <w:t>优</w:t>
      </w:r>
      <w:r>
        <w:rPr>
          <w:rFonts w:hint="eastAsia" w:ascii="仿宋_GB2312" w:hAnsi="仿宋_GB2312" w:eastAsia="仿宋_GB2312" w:cs="仿宋_GB2312"/>
          <w:color w:val="auto"/>
          <w:sz w:val="32"/>
          <w:szCs w:val="32"/>
        </w:rPr>
        <w:t>”。主要任务完成情况分析如下：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color w:val="auto"/>
          <w:sz w:val="32"/>
          <w:szCs w:val="32"/>
        </w:rPr>
        <w:t>组织开展第十一届甘肃省敦煌文艺奖评选表彰工作，成立评奖工作专班、面向全省征集符合条件的各类文艺作品，通过审核把关、汇总复审、专家评审，评选文学类、电影类、广播电视类、戏剧类、音乐舞蹈类、曲艺杂技类、美术类等7个门类90项左右的作品。评选程序结束后，以省委省政府的名义对获奖作品进行表彰奖励。</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本届敦煌文艺奖评选工作从2025年5月中旬开始，经组织申报、汇总复核、专家评审、省评奖工作专班会议审议、面向社会公示等程序，共评出获奖作品90项，其中：文学类30项、电影类4项、广播电视类13项、戏剧类13项、音乐舞蹈12项、曲艺杂技类3项、美术类15项。已由省委省政府印发表彰决定，对获奖作品予以了表彰。</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6</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jc w:val="left"/>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5</w:t>
      </w:r>
      <w:r>
        <w:rPr>
          <w:rFonts w:hint="eastAsia" w:ascii="仿宋_GB2312" w:hAnsi="仿宋_GB2312" w:eastAsia="仿宋_GB2312" w:cs="仿宋_GB2312"/>
          <w:color w:val="auto"/>
          <w:sz w:val="32"/>
          <w:szCs w:val="32"/>
        </w:rPr>
        <w:t>年度</w:t>
      </w:r>
      <w:r>
        <w:rPr>
          <w:rFonts w:hint="eastAsia" w:ascii="仿宋_GB2312" w:hAnsi="仿宋_GB2312" w:eastAsia="仿宋_GB2312" w:cs="仿宋_GB2312"/>
          <w:color w:val="auto"/>
          <w:sz w:val="32"/>
          <w:szCs w:val="32"/>
          <w:lang w:val="en-US" w:eastAsia="zh-CN" w:bidi="ar"/>
        </w:rPr>
        <w:t>获奖作品数量90个</w:t>
      </w:r>
      <w:r>
        <w:rPr>
          <w:rFonts w:hint="eastAsia" w:ascii="仿宋_GB2312" w:hAnsi="仿宋_GB2312" w:eastAsia="仿宋_GB2312" w:cs="仿宋_GB2312"/>
          <w:color w:val="auto"/>
          <w:sz w:val="32"/>
          <w:szCs w:val="32"/>
          <w:lang w:bidi="ar"/>
        </w:rPr>
        <w:t>。指标分值合计</w:t>
      </w:r>
      <w:r>
        <w:rPr>
          <w:rFonts w:hint="eastAsia" w:ascii="仿宋_GB2312" w:hAnsi="仿宋_GB2312" w:eastAsia="仿宋_GB2312" w:cs="仿宋_GB2312"/>
          <w:color w:val="auto"/>
          <w:sz w:val="32"/>
          <w:szCs w:val="32"/>
          <w:lang w:val="en-US" w:eastAsia="zh-CN" w:bidi="ar"/>
        </w:rPr>
        <w:t>6.67</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6.67</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年度奖励资金足额发放率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征集作品覆盖率</w:t>
      </w:r>
      <w:r>
        <w:rPr>
          <w:rFonts w:hint="eastAsia" w:ascii="仿宋_GB2312" w:hAnsi="仿宋_GB2312" w:eastAsia="仿宋_GB2312" w:cs="仿宋_GB2312"/>
          <w:color w:val="auto"/>
          <w:sz w:val="32"/>
          <w:szCs w:val="32"/>
          <w:lang w:eastAsia="zh-CN"/>
        </w:rPr>
        <w:t>均达到预期目标值。</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13.34</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13.34</w:t>
      </w:r>
      <w:r>
        <w:rPr>
          <w:rFonts w:hint="eastAsia" w:ascii="仿宋_GB2312" w:hAnsi="仿宋_GB2312" w:eastAsia="仿宋_GB2312" w:cs="仿宋_GB2312"/>
          <w:color w:val="auto"/>
          <w:sz w:val="32"/>
          <w:szCs w:val="32"/>
        </w:rPr>
        <w:t>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年度奖励资金及时发放率</w:t>
      </w:r>
      <w:r>
        <w:rPr>
          <w:rFonts w:hint="eastAsia" w:ascii="仿宋_GB2312" w:hAnsi="仿宋_GB2312" w:eastAsia="仿宋_GB2312" w:cs="仿宋_GB2312"/>
          <w:color w:val="auto"/>
          <w:sz w:val="32"/>
          <w:szCs w:val="32"/>
          <w:lang w:eastAsia="zh-CN"/>
        </w:rPr>
        <w:t>、评选及时率、通知下发及时率</w:t>
      </w:r>
      <w:r>
        <w:rPr>
          <w:rFonts w:hint="eastAsia" w:ascii="仿宋_GB2312" w:hAnsi="仿宋_GB2312" w:eastAsia="仿宋_GB2312" w:cs="仿宋_GB2312"/>
          <w:color w:val="auto"/>
          <w:sz w:val="32"/>
          <w:szCs w:val="32"/>
        </w:rPr>
        <w:t>均达到了目标值。指标分值合计</w:t>
      </w:r>
      <w:r>
        <w:rPr>
          <w:rFonts w:hint="eastAsia" w:ascii="仿宋_GB2312" w:hAnsi="仿宋_GB2312" w:eastAsia="仿宋_GB2312" w:cs="仿宋_GB2312"/>
          <w:color w:val="auto"/>
          <w:sz w:val="32"/>
          <w:szCs w:val="32"/>
          <w:lang w:val="en-US" w:eastAsia="zh-CN"/>
        </w:rPr>
        <w:t>19.99</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19.99</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pStyle w:val="1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color w:val="auto"/>
          <w:sz w:val="32"/>
          <w:szCs w:val="32"/>
          <w:lang w:bidi="ar"/>
        </w:rPr>
        <w:t>敦煌文艺作品品牌影响力</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bidi="ar"/>
        </w:rPr>
        <w:t>全省文艺工作者创作热情</w:t>
      </w:r>
      <w:r>
        <w:rPr>
          <w:rFonts w:hint="eastAsia" w:ascii="仿宋_GB2312" w:hAnsi="仿宋_GB2312" w:eastAsia="仿宋_GB2312" w:cs="仿宋_GB2312"/>
          <w:color w:val="auto"/>
          <w:sz w:val="32"/>
          <w:szCs w:val="32"/>
          <w:lang w:val="en-US" w:eastAsia="zh-CN" w:bidi="ar"/>
        </w:rPr>
        <w:t>均</w:t>
      </w:r>
      <w:r>
        <w:rPr>
          <w:rFonts w:hint="eastAsia" w:ascii="仿宋_GB2312" w:hAnsi="仿宋_GB2312" w:eastAsia="仿宋_GB2312" w:cs="仿宋_GB2312"/>
          <w:color w:val="auto"/>
          <w:sz w:val="32"/>
          <w:szCs w:val="32"/>
          <w:lang w:bidi="ar"/>
        </w:rPr>
        <w:t>达到了预期目标值。社会效益指标分值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获奖者满意度达到</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val="en-US" w:eastAsia="zh-CN" w:bidi="ar"/>
        </w:rPr>
        <w:t>一个三级指标，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200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outlineLvl w:val="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偏离绩效目标的原因及下一步改进措施</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kern w:val="2"/>
          <w:sz w:val="32"/>
          <w:szCs w:val="32"/>
          <w:lang w:val="en-US" w:eastAsia="zh-CN" w:bidi="ar-SA"/>
        </w:rPr>
        <w:t>未偏离，项目所有绩效目标均按要求完成。</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十七</w:t>
      </w:r>
      <w:r>
        <w:rPr>
          <w:rFonts w:hint="eastAsia" w:ascii="仿宋_GB2312" w:hAnsi="仿宋_GB2312" w:eastAsia="仿宋_GB2312" w:cs="仿宋_GB2312"/>
          <w:b/>
          <w:bCs/>
          <w:color w:val="auto"/>
          <w:sz w:val="32"/>
          <w:szCs w:val="32"/>
        </w:rPr>
        <w:t>）项目</w:t>
      </w:r>
      <w:r>
        <w:rPr>
          <w:rFonts w:hint="eastAsia" w:ascii="仿宋_GB2312" w:hAnsi="仿宋_GB2312" w:eastAsia="仿宋_GB2312" w:cs="仿宋_GB2312"/>
          <w:b/>
          <w:bCs/>
          <w:color w:val="auto"/>
          <w:sz w:val="32"/>
          <w:szCs w:val="32"/>
          <w:lang w:val="en-US" w:eastAsia="zh-CN"/>
        </w:rPr>
        <w:t>17</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bCs/>
          <w:color w:val="auto"/>
          <w:sz w:val="32"/>
          <w:szCs w:val="32"/>
        </w:rPr>
        <w:t>敦煌文博会宣传报道经费</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项目支出预算执行情况</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敦煌文博会宣传报道经费全年预算数</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351</w:t>
      </w:r>
      <w:r>
        <w:rPr>
          <w:rFonts w:hint="eastAsia" w:ascii="仿宋_GB2312" w:hAnsi="仿宋_GB2312" w:eastAsia="仿宋_GB2312" w:cs="仿宋_GB2312"/>
          <w:color w:val="auto"/>
          <w:sz w:val="32"/>
          <w:szCs w:val="32"/>
        </w:rPr>
        <w:t>万元，全年支出数</w:t>
      </w:r>
      <w:r>
        <w:rPr>
          <w:rFonts w:hint="eastAsia" w:ascii="仿宋_GB2312" w:hAnsi="仿宋_GB2312" w:eastAsia="仿宋_GB2312" w:cs="仿宋_GB2312"/>
          <w:color w:val="auto"/>
          <w:sz w:val="32"/>
          <w:szCs w:val="32"/>
          <w:lang w:val="en-US" w:eastAsia="zh-CN"/>
        </w:rPr>
        <w:t>351</w:t>
      </w:r>
      <w:r>
        <w:rPr>
          <w:rFonts w:hint="eastAsia" w:ascii="仿宋_GB2312" w:hAnsi="仿宋_GB2312" w:eastAsia="仿宋_GB2312" w:cs="仿宋_GB2312"/>
          <w:color w:val="auto"/>
          <w:sz w:val="32"/>
          <w:szCs w:val="32"/>
        </w:rPr>
        <w:t>万元，预算执行率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%，指标分值10分，按评分标准得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总体绩效目标完成情况分析</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92.4</w:t>
      </w:r>
      <w:r>
        <w:rPr>
          <w:rFonts w:hint="eastAsia" w:ascii="仿宋_GB2312" w:hAnsi="仿宋_GB2312" w:eastAsia="仿宋_GB2312" w:cs="仿宋_GB2312"/>
          <w:color w:val="auto"/>
          <w:sz w:val="32"/>
          <w:szCs w:val="32"/>
        </w:rPr>
        <w:t>分，自评结果为“</w:t>
      </w:r>
      <w:r>
        <w:rPr>
          <w:rFonts w:hint="eastAsia" w:ascii="仿宋_GB2312" w:hAnsi="仿宋_GB2312" w:eastAsia="仿宋_GB2312" w:cs="仿宋_GB2312"/>
          <w:color w:val="auto"/>
          <w:sz w:val="32"/>
          <w:szCs w:val="32"/>
          <w:lang w:val="en-US" w:eastAsia="zh-CN"/>
        </w:rPr>
        <w:t>优</w:t>
      </w:r>
      <w:r>
        <w:rPr>
          <w:rFonts w:hint="eastAsia" w:ascii="仿宋_GB2312" w:hAnsi="仿宋_GB2312" w:eastAsia="仿宋_GB2312" w:cs="仿宋_GB2312"/>
          <w:color w:val="auto"/>
          <w:sz w:val="32"/>
          <w:szCs w:val="32"/>
        </w:rPr>
        <w:t>”。主要任务完成情况分析如下：</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b w:val="0"/>
          <w:bCs w:val="0"/>
          <w:color w:val="auto"/>
          <w:sz w:val="32"/>
          <w:szCs w:val="32"/>
        </w:rPr>
        <w:t>做好敦煌文博会宣传报道工作。</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顺利完成第八届敦煌文博会宣传报道工作，累计刊发相关稿件8500余篇，点击量17亿次。</w:t>
      </w:r>
      <w:r>
        <w:rPr>
          <w:rFonts w:hint="eastAsia" w:ascii="仿宋_GB2312" w:hAnsi="仿宋_GB2312" w:eastAsia="仿宋_GB2312" w:cs="仿宋_GB2312"/>
          <w:b/>
          <w:bCs/>
          <w:color w:val="auto"/>
          <w:sz w:val="32"/>
          <w:szCs w:val="32"/>
        </w:rPr>
        <w:t>3</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各项指标完成情况分析</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15</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36.4</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91</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b w:val="0"/>
          <w:bCs w:val="0"/>
          <w:color w:val="auto"/>
          <w:sz w:val="32"/>
          <w:szCs w:val="32"/>
          <w:lang w:bidi="ar"/>
        </w:rPr>
        <w:t>参会媒体记者数</w:t>
      </w:r>
      <w:r>
        <w:rPr>
          <w:rFonts w:hint="eastAsia" w:ascii="仿宋_GB2312" w:hAnsi="仿宋_GB2312" w:eastAsia="仿宋_GB2312" w:cs="仿宋_GB2312"/>
          <w:b w:val="0"/>
          <w:bCs w:val="0"/>
          <w:color w:val="auto"/>
          <w:sz w:val="32"/>
          <w:szCs w:val="32"/>
          <w:lang w:val="en-US" w:eastAsia="zh-CN" w:bidi="ar"/>
        </w:rPr>
        <w:t>414人，宣传推广重点媒体数20家，邀请参会媒体数112家</w:t>
      </w:r>
      <w:r>
        <w:rPr>
          <w:rFonts w:hint="eastAsia" w:ascii="仿宋_GB2312" w:hAnsi="仿宋_GB2312" w:eastAsia="仿宋_GB2312" w:cs="仿宋_GB2312"/>
          <w:b w:val="0"/>
          <w:bCs w:val="0"/>
          <w:color w:val="auto"/>
          <w:sz w:val="32"/>
          <w:szCs w:val="32"/>
          <w:lang w:bidi="ar"/>
        </w:rPr>
        <w:t>。指标分</w:t>
      </w:r>
      <w:r>
        <w:rPr>
          <w:rFonts w:hint="eastAsia" w:ascii="仿宋_GB2312" w:hAnsi="仿宋_GB2312" w:eastAsia="仿宋_GB2312" w:cs="仿宋_GB2312"/>
          <w:color w:val="auto"/>
          <w:sz w:val="32"/>
          <w:szCs w:val="32"/>
          <w:lang w:bidi="ar"/>
        </w:rPr>
        <w:t>值合计</w:t>
      </w:r>
      <w:r>
        <w:rPr>
          <w:rFonts w:hint="eastAsia" w:ascii="仿宋_GB2312" w:hAnsi="仿宋_GB2312" w:eastAsia="仿宋_GB2312" w:cs="仿宋_GB2312"/>
          <w:color w:val="auto"/>
          <w:sz w:val="32"/>
          <w:szCs w:val="32"/>
          <w:lang w:val="en-US" w:eastAsia="zh-CN" w:bidi="ar"/>
        </w:rPr>
        <w:t>10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7.9</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79</w:t>
      </w:r>
      <w:r>
        <w:rPr>
          <w:rFonts w:hint="eastAsia" w:ascii="仿宋_GB2312" w:hAnsi="仿宋_GB2312" w:eastAsia="仿宋_GB2312" w:cs="仿宋_GB2312"/>
          <w:color w:val="auto"/>
          <w:sz w:val="32"/>
          <w:szCs w:val="32"/>
          <w:lang w:bidi="ar"/>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b w:val="0"/>
          <w:bCs w:val="0"/>
          <w:color w:val="auto"/>
          <w:sz w:val="32"/>
          <w:szCs w:val="32"/>
        </w:rPr>
        <w:t>重点媒体补助覆盖率</w:t>
      </w:r>
      <w:r>
        <w:rPr>
          <w:rFonts w:hint="eastAsia" w:ascii="仿宋_GB2312" w:hAnsi="仿宋_GB2312" w:eastAsia="仿宋_GB2312" w:cs="仿宋_GB2312"/>
          <w:b w:val="0"/>
          <w:bCs w:val="0"/>
          <w:color w:val="auto"/>
          <w:sz w:val="32"/>
          <w:szCs w:val="32"/>
          <w:lang w:val="en-US" w:eastAsia="zh-CN"/>
        </w:rPr>
        <w:t>达到100%</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b w:val="0"/>
          <w:bCs w:val="0"/>
          <w:color w:val="auto"/>
          <w:sz w:val="32"/>
          <w:szCs w:val="32"/>
        </w:rPr>
        <w:t>媒体宣传推广及时性</w:t>
      </w:r>
      <w:r>
        <w:rPr>
          <w:rFonts w:hint="eastAsia" w:ascii="仿宋_GB2312" w:hAnsi="仿宋_GB2312" w:eastAsia="仿宋_GB2312" w:cs="仿宋_GB2312"/>
          <w:b w:val="0"/>
          <w:bCs w:val="0"/>
          <w:color w:val="auto"/>
          <w:sz w:val="32"/>
          <w:szCs w:val="32"/>
          <w:lang w:val="en-US" w:eastAsia="zh-CN"/>
        </w:rPr>
        <w:t>100%。</w:t>
      </w:r>
      <w:r>
        <w:rPr>
          <w:rFonts w:hint="eastAsia" w:ascii="仿宋_GB2312" w:hAnsi="仿宋_GB2312" w:eastAsia="仿宋_GB2312" w:cs="仿宋_GB2312"/>
          <w:color w:val="auto"/>
          <w:sz w:val="32"/>
          <w:szCs w:val="32"/>
        </w:rPr>
        <w:t>指标分值合计</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13.5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pStyle w:val="1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b w:val="0"/>
          <w:bCs w:val="0"/>
          <w:color w:val="auto"/>
          <w:sz w:val="32"/>
          <w:szCs w:val="32"/>
          <w:lang w:bidi="ar"/>
        </w:rPr>
        <w:t>：</w:t>
      </w:r>
      <w:r>
        <w:rPr>
          <w:rFonts w:hint="eastAsia" w:ascii="仿宋_GB2312" w:hAnsi="仿宋_GB2312" w:eastAsia="仿宋_GB2312" w:cs="仿宋_GB2312"/>
          <w:b w:val="0"/>
          <w:bCs w:val="0"/>
          <w:color w:val="auto"/>
          <w:sz w:val="32"/>
          <w:szCs w:val="32"/>
          <w:lang w:val="en-US" w:eastAsia="zh-CN"/>
        </w:rPr>
        <w:t>敦煌文博会知名度有效提升</w:t>
      </w:r>
      <w:r>
        <w:rPr>
          <w:rFonts w:hint="eastAsia" w:ascii="仿宋_GB2312" w:hAnsi="仿宋_GB2312" w:eastAsia="仿宋_GB2312" w:cs="仿宋_GB2312"/>
          <w:color w:val="auto"/>
          <w:sz w:val="32"/>
          <w:szCs w:val="32"/>
          <w:lang w:bidi="ar"/>
        </w:rPr>
        <w:t>。社会效益指标分值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参会媒体</w:t>
      </w:r>
      <w:r>
        <w:rPr>
          <w:rFonts w:hint="eastAsia" w:ascii="仿宋_GB2312" w:hAnsi="仿宋_GB2312" w:eastAsia="仿宋_GB2312" w:cs="仿宋_GB2312"/>
          <w:color w:val="auto"/>
          <w:sz w:val="32"/>
          <w:szCs w:val="32"/>
          <w:lang w:eastAsia="zh-CN"/>
        </w:rPr>
        <w:t>满意度达到</w:t>
      </w:r>
      <w:r>
        <w:rPr>
          <w:rFonts w:hint="eastAsia" w:ascii="仿宋_GB2312" w:hAnsi="仿宋_GB2312" w:eastAsia="仿宋_GB2312" w:cs="仿宋_GB2312"/>
          <w:color w:val="auto"/>
          <w:sz w:val="32"/>
          <w:szCs w:val="32"/>
        </w:rPr>
        <w:t>预期目标值。满意度指标分值10分，按评分标准得10分，得分率100%。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351</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outlineLvl w:val="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偏离绩效目标的原因及下一步改进措施</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643"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b/>
          <w:bCs/>
          <w:color w:val="auto"/>
          <w:sz w:val="32"/>
          <w:szCs w:val="32"/>
          <w:lang w:val="en-US" w:eastAsia="zh-CN"/>
        </w:rPr>
        <w:t>部分指标实际完成值与年初目标存在偏差。</w:t>
      </w:r>
      <w:r>
        <w:rPr>
          <w:rFonts w:hint="eastAsia" w:ascii="仿宋_GB2312" w:hAnsi="仿宋_GB2312" w:eastAsia="仿宋_GB2312" w:cs="仿宋_GB2312"/>
          <w:color w:val="auto"/>
          <w:sz w:val="32"/>
          <w:szCs w:val="32"/>
          <w:lang w:val="en-US" w:eastAsia="zh-CN"/>
        </w:rPr>
        <w:t>主要原因是部分指标年初目标设置</w:t>
      </w:r>
      <w:r>
        <w:rPr>
          <w:rFonts w:hint="eastAsia" w:cs="仿宋_GB2312"/>
          <w:color w:val="auto"/>
          <w:sz w:val="32"/>
          <w:szCs w:val="32"/>
          <w:lang w:val="en-US" w:eastAsia="zh-CN"/>
        </w:rPr>
        <w:t>偏保守，实际参会媒体超预期</w:t>
      </w:r>
      <w:r>
        <w:rPr>
          <w:rFonts w:hint="eastAsia" w:ascii="仿宋_GB2312" w:hAnsi="仿宋_GB2312" w:eastAsia="仿宋_GB2312" w:cs="仿宋_GB2312"/>
          <w:color w:val="auto"/>
          <w:sz w:val="32"/>
          <w:szCs w:val="32"/>
          <w:lang w:val="en-US" w:eastAsia="zh-CN"/>
        </w:rPr>
        <w:t>，如</w:t>
      </w:r>
      <w:r>
        <w:rPr>
          <w:rFonts w:hint="eastAsia" w:ascii="仿宋_GB2312" w:hAnsi="仿宋_GB2312" w:eastAsia="仿宋_GB2312" w:cs="仿宋_GB2312"/>
          <w:b w:val="0"/>
          <w:bCs w:val="0"/>
          <w:color w:val="auto"/>
          <w:sz w:val="32"/>
          <w:szCs w:val="32"/>
        </w:rPr>
        <w:t>参会媒体记者数</w:t>
      </w:r>
      <w:r>
        <w:rPr>
          <w:rFonts w:hint="eastAsia" w:ascii="仿宋_GB2312" w:hAnsi="仿宋_GB2312" w:eastAsia="仿宋_GB2312" w:cs="仿宋_GB2312"/>
          <w:b w:val="0"/>
          <w:bCs w:val="0"/>
          <w:color w:val="auto"/>
          <w:sz w:val="32"/>
          <w:szCs w:val="32"/>
          <w:lang w:eastAsia="zh-CN"/>
        </w:rPr>
        <w:t>、宣传推广重点媒体数</w:t>
      </w:r>
      <w:r>
        <w:rPr>
          <w:rFonts w:hint="eastAsia" w:ascii="仿宋_GB2312" w:hAnsi="仿宋_GB2312" w:eastAsia="仿宋_GB2312" w:cs="仿宋_GB2312"/>
          <w:color w:val="auto"/>
          <w:sz w:val="32"/>
          <w:szCs w:val="32"/>
          <w:lang w:val="en-US" w:eastAsia="zh-CN"/>
        </w:rPr>
        <w:t>等指标实际完成值超过预期目标的幅度较大。下一步，我部将加强项目前期</w:t>
      </w:r>
      <w:r>
        <w:rPr>
          <w:rFonts w:hint="eastAsia" w:cs="仿宋_GB2312"/>
          <w:color w:val="auto"/>
          <w:sz w:val="32"/>
          <w:szCs w:val="32"/>
          <w:lang w:val="en-US" w:eastAsia="zh-CN"/>
        </w:rPr>
        <w:t>论证</w:t>
      </w:r>
      <w:r>
        <w:rPr>
          <w:rFonts w:hint="eastAsia" w:ascii="仿宋_GB2312" w:hAnsi="仿宋_GB2312" w:eastAsia="仿宋_GB2312" w:cs="仿宋_GB2312"/>
          <w:color w:val="auto"/>
          <w:sz w:val="32"/>
          <w:szCs w:val="32"/>
          <w:lang w:val="en-US" w:eastAsia="zh-CN"/>
        </w:rPr>
        <w:t>，</w:t>
      </w:r>
      <w:r>
        <w:rPr>
          <w:rFonts w:hint="eastAsia" w:cs="仿宋_GB2312"/>
          <w:color w:val="auto"/>
          <w:sz w:val="32"/>
          <w:szCs w:val="32"/>
          <w:lang w:val="en-US" w:eastAsia="zh-CN"/>
        </w:rPr>
        <w:t>结合历届展会数据，精准测算宣传需求，</w:t>
      </w:r>
      <w:r>
        <w:rPr>
          <w:rFonts w:hint="eastAsia" w:ascii="仿宋_GB2312" w:hAnsi="仿宋_GB2312" w:eastAsia="仿宋_GB2312" w:cs="仿宋_GB2312"/>
          <w:color w:val="auto"/>
          <w:sz w:val="32"/>
          <w:szCs w:val="32"/>
          <w:lang w:val="en-US" w:eastAsia="zh-CN"/>
        </w:rPr>
        <w:t>合理设定绩效目标。</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十八</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甘肃省“十五五”文化发展规划</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甘肃省“十五五”文化发展规划全年预算数</w:t>
      </w:r>
      <w:r>
        <w:rPr>
          <w:rFonts w:hint="eastAsia" w:ascii="仿宋_GB2312" w:hAnsi="仿宋_GB2312" w:eastAsia="仿宋_GB2312" w:cs="仿宋_GB2312"/>
          <w:b w:val="0"/>
          <w:bCs w:val="0"/>
          <w:color w:val="auto"/>
          <w:sz w:val="32"/>
          <w:szCs w:val="32"/>
          <w:lang w:eastAsia="zh-CN"/>
        </w:rPr>
        <w:t>为</w:t>
      </w:r>
      <w:r>
        <w:rPr>
          <w:rFonts w:hint="eastAsia" w:ascii="仿宋_GB2312" w:hAnsi="仿宋_GB2312" w:eastAsia="仿宋_GB2312" w:cs="仿宋_GB2312"/>
          <w:b w:val="0"/>
          <w:bCs w:val="0"/>
          <w:color w:val="auto"/>
          <w:sz w:val="32"/>
          <w:szCs w:val="32"/>
          <w:lang w:val="en-US" w:eastAsia="zh-CN"/>
        </w:rPr>
        <w:t>30</w:t>
      </w:r>
      <w:r>
        <w:rPr>
          <w:rFonts w:hint="eastAsia" w:ascii="仿宋_GB2312" w:hAnsi="仿宋_GB2312" w:eastAsia="仿宋_GB2312" w:cs="仿宋_GB2312"/>
          <w:b w:val="0"/>
          <w:bCs w:val="0"/>
          <w:color w:val="auto"/>
          <w:sz w:val="32"/>
          <w:szCs w:val="32"/>
        </w:rPr>
        <w:t>万元，全年支出数</w:t>
      </w:r>
      <w:r>
        <w:rPr>
          <w:rFonts w:hint="eastAsia" w:ascii="仿宋_GB2312" w:hAnsi="仿宋_GB2312" w:eastAsia="仿宋_GB2312" w:cs="仿宋_GB2312"/>
          <w:b w:val="0"/>
          <w:bCs w:val="0"/>
          <w:color w:val="auto"/>
          <w:sz w:val="32"/>
          <w:szCs w:val="32"/>
          <w:lang w:val="en-US" w:eastAsia="zh-CN"/>
        </w:rPr>
        <w:t>0.13</w:t>
      </w:r>
      <w:r>
        <w:rPr>
          <w:rFonts w:hint="eastAsia" w:ascii="仿宋_GB2312" w:hAnsi="仿宋_GB2312" w:eastAsia="仿宋_GB2312" w:cs="仿宋_GB2312"/>
          <w:b w:val="0"/>
          <w:bCs w:val="0"/>
          <w:color w:val="auto"/>
          <w:sz w:val="32"/>
          <w:szCs w:val="32"/>
        </w:rPr>
        <w:t>万元，预算执行率</w:t>
      </w:r>
      <w:r>
        <w:rPr>
          <w:rFonts w:hint="eastAsia" w:ascii="仿宋_GB2312" w:hAnsi="仿宋_GB2312" w:eastAsia="仿宋_GB2312" w:cs="仿宋_GB2312"/>
          <w:b w:val="0"/>
          <w:bCs w:val="0"/>
          <w:color w:val="auto"/>
          <w:sz w:val="32"/>
          <w:szCs w:val="32"/>
          <w:lang w:val="en-US" w:eastAsia="zh-CN"/>
        </w:rPr>
        <w:t>0.42</w:t>
      </w:r>
      <w:r>
        <w:rPr>
          <w:rFonts w:hint="eastAsia" w:ascii="仿宋_GB2312" w:hAnsi="仿宋_GB2312" w:eastAsia="仿宋_GB2312" w:cs="仿宋_GB2312"/>
          <w:b w:val="0"/>
          <w:bCs w:val="0"/>
          <w:color w:val="auto"/>
          <w:sz w:val="32"/>
          <w:szCs w:val="32"/>
        </w:rPr>
        <w:t>%，指标分值10分，按评分标准得</w:t>
      </w:r>
      <w:r>
        <w:rPr>
          <w:rFonts w:hint="eastAsia" w:ascii="仿宋_GB2312" w:hAnsi="仿宋_GB2312" w:eastAsia="仿宋_GB2312" w:cs="仿宋_GB2312"/>
          <w:b w:val="0"/>
          <w:bCs w:val="0"/>
          <w:color w:val="auto"/>
          <w:sz w:val="32"/>
          <w:szCs w:val="32"/>
          <w:lang w:val="en-US" w:eastAsia="zh-CN"/>
        </w:rPr>
        <w:t>0.04</w:t>
      </w:r>
      <w:r>
        <w:rPr>
          <w:rFonts w:hint="eastAsia" w:ascii="仿宋_GB2312" w:hAnsi="仿宋_GB2312" w:eastAsia="仿宋_GB2312" w:cs="仿宋_GB2312"/>
          <w:b w:val="0"/>
          <w:bCs w:val="0"/>
          <w:color w:val="auto"/>
          <w:sz w:val="32"/>
          <w:szCs w:val="32"/>
        </w:rPr>
        <w:t>分，得分率</w:t>
      </w:r>
      <w:r>
        <w:rPr>
          <w:rFonts w:hint="eastAsia" w:ascii="仿宋_GB2312" w:hAnsi="仿宋_GB2312" w:eastAsia="仿宋_GB2312" w:cs="仿宋_GB2312"/>
          <w:b w:val="0"/>
          <w:bCs w:val="0"/>
          <w:color w:val="auto"/>
          <w:sz w:val="32"/>
          <w:szCs w:val="32"/>
          <w:lang w:val="en-US" w:eastAsia="zh-CN"/>
        </w:rPr>
        <w:t>0.4</w:t>
      </w:r>
      <w:r>
        <w:rPr>
          <w:rFonts w:hint="eastAsia" w:ascii="仿宋_GB2312" w:hAnsi="仿宋_GB2312" w:eastAsia="仿宋_GB2312" w:cs="仿宋_GB2312"/>
          <w:b w:val="0"/>
          <w:bCs w:val="0"/>
          <w:color w:val="auto"/>
          <w:sz w:val="32"/>
          <w:szCs w:val="32"/>
        </w:rPr>
        <w:t>%。</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61.04</w:t>
      </w:r>
      <w:r>
        <w:rPr>
          <w:rFonts w:hint="eastAsia" w:ascii="仿宋_GB2312" w:hAnsi="仿宋_GB2312" w:eastAsia="仿宋_GB2312" w:cs="仿宋_GB2312"/>
          <w:color w:val="auto"/>
          <w:sz w:val="32"/>
          <w:szCs w:val="32"/>
        </w:rPr>
        <w:t>分，自评结果为“</w:t>
      </w:r>
      <w:r>
        <w:rPr>
          <w:rFonts w:hint="eastAsia" w:ascii="仿宋_GB2312" w:hAnsi="仿宋_GB2312" w:eastAsia="仿宋_GB2312" w:cs="仿宋_GB2312"/>
          <w:color w:val="auto"/>
          <w:sz w:val="32"/>
          <w:szCs w:val="32"/>
          <w:lang w:val="en-US" w:eastAsia="zh-CN"/>
        </w:rPr>
        <w:t>中</w:t>
      </w:r>
      <w:r>
        <w:rPr>
          <w:rFonts w:hint="eastAsia" w:ascii="仿宋_GB2312" w:hAnsi="仿宋_GB2312" w:eastAsia="仿宋_GB2312" w:cs="仿宋_GB2312"/>
          <w:color w:val="auto"/>
          <w:sz w:val="32"/>
          <w:szCs w:val="32"/>
        </w:rPr>
        <w:t>”。主要任务完成情况分析如下：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b w:val="0"/>
          <w:bCs w:val="0"/>
          <w:color w:val="auto"/>
          <w:sz w:val="32"/>
          <w:szCs w:val="32"/>
        </w:rPr>
        <w:t>编制《甘肃省“十五五”文化发展规划》工作方案，启动规划编制工作，开展“十四五”文化发展规划评估，谋划“十五五”时期重大项目、重要政策、重点任务谋划，专题调研和意见建议征集等前期工作。</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省委宣传部印发《〈甘肃省“十五五”文化发展规划〉编制工作方案》，召开规划编制工作启动会议。组织开展《甘肃省“十四五”文化发展规划》执行情况评估工作，形成评估报告。组织14个市州和省直宣传文化单位开展“十五五”时期重大项目、重要政策、重点任务谋划，赴陇南、武威等市州和省直单位开展调研，开展我为甘肃“十五五”文化发展献一策意见建议活动，共征集到各类重大项目、政策举措、意见建议等500余项。</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15</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37.5</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b w:val="0"/>
          <w:bCs w:val="0"/>
          <w:color w:val="auto"/>
          <w:sz w:val="32"/>
          <w:szCs w:val="32"/>
          <w:lang w:val="en-US" w:eastAsia="zh-CN" w:bidi="ar"/>
        </w:rPr>
        <w:t>完成规划文本数量为0</w:t>
      </w:r>
      <w:r>
        <w:rPr>
          <w:rFonts w:hint="eastAsia" w:ascii="仿宋_GB2312" w:hAnsi="仿宋_GB2312" w:eastAsia="仿宋_GB2312" w:cs="仿宋_GB2312"/>
          <w:b w:val="0"/>
          <w:bCs w:val="0"/>
          <w:color w:val="auto"/>
          <w:sz w:val="32"/>
          <w:szCs w:val="32"/>
          <w:lang w:bidi="ar"/>
        </w:rPr>
        <w:t>。指</w:t>
      </w:r>
      <w:r>
        <w:rPr>
          <w:rFonts w:hint="eastAsia" w:ascii="仿宋_GB2312" w:hAnsi="仿宋_GB2312" w:eastAsia="仿宋_GB2312" w:cs="仿宋_GB2312"/>
          <w:color w:val="auto"/>
          <w:sz w:val="32"/>
          <w:szCs w:val="32"/>
          <w:lang w:bidi="ar"/>
        </w:rPr>
        <w:t>标分值合计</w:t>
      </w:r>
      <w:r>
        <w:rPr>
          <w:rFonts w:hint="eastAsia" w:ascii="仿宋_GB2312" w:hAnsi="仿宋_GB2312" w:eastAsia="仿宋_GB2312" w:cs="仿宋_GB2312"/>
          <w:color w:val="auto"/>
          <w:sz w:val="32"/>
          <w:szCs w:val="32"/>
          <w:lang w:val="en-US" w:eastAsia="zh-CN" w:bidi="ar"/>
        </w:rPr>
        <w:t>10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0</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b w:val="0"/>
          <w:bCs w:val="0"/>
          <w:color w:val="auto"/>
          <w:sz w:val="32"/>
          <w:szCs w:val="32"/>
          <w:lang w:val="en-US" w:eastAsia="zh-CN"/>
        </w:rPr>
        <w:t>规划尚未</w:t>
      </w:r>
      <w:r>
        <w:rPr>
          <w:rFonts w:hint="eastAsia" w:ascii="仿宋_GB2312" w:hAnsi="仿宋_GB2312" w:eastAsia="仿宋_GB2312" w:cs="仿宋_GB2312"/>
          <w:b w:val="0"/>
          <w:bCs w:val="0"/>
          <w:color w:val="auto"/>
          <w:sz w:val="32"/>
          <w:szCs w:val="32"/>
        </w:rPr>
        <w:t>通过省委审定并印发</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但完成了部分前期准备工作。</w:t>
      </w:r>
      <w:r>
        <w:rPr>
          <w:rFonts w:hint="eastAsia" w:ascii="仿宋_GB2312" w:hAnsi="仿宋_GB2312" w:eastAsia="仿宋_GB2312" w:cs="仿宋_GB2312"/>
          <w:b w:val="0"/>
          <w:bCs w:val="0"/>
          <w:color w:val="auto"/>
          <w:sz w:val="32"/>
          <w:szCs w:val="32"/>
        </w:rPr>
        <w:t>指标分值合</w:t>
      </w:r>
      <w:r>
        <w:rPr>
          <w:rFonts w:hint="eastAsia" w:ascii="仿宋_GB2312" w:hAnsi="仿宋_GB2312" w:eastAsia="仿宋_GB2312" w:cs="仿宋_GB2312"/>
          <w:color w:val="auto"/>
          <w:sz w:val="32"/>
          <w:szCs w:val="32"/>
        </w:rPr>
        <w:t>计</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4.5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b w:val="0"/>
          <w:bCs w:val="0"/>
          <w:color w:val="auto"/>
          <w:sz w:val="32"/>
          <w:szCs w:val="32"/>
          <w:lang w:val="en-US" w:eastAsia="zh-CN"/>
        </w:rPr>
        <w:t>各项工作仅完成了部分前期准备工作。</w:t>
      </w:r>
      <w:r>
        <w:rPr>
          <w:rFonts w:hint="eastAsia" w:ascii="仿宋_GB2312" w:hAnsi="仿宋_GB2312" w:eastAsia="仿宋_GB2312" w:cs="仿宋_GB2312"/>
          <w:b w:val="0"/>
          <w:bCs w:val="0"/>
          <w:color w:val="auto"/>
          <w:sz w:val="32"/>
          <w:szCs w:val="32"/>
        </w:rPr>
        <w:t>指标分</w:t>
      </w:r>
      <w:r>
        <w:rPr>
          <w:rFonts w:hint="eastAsia" w:ascii="仿宋_GB2312" w:hAnsi="仿宋_GB2312" w:eastAsia="仿宋_GB2312" w:cs="仿宋_GB2312"/>
          <w:color w:val="auto"/>
          <w:sz w:val="32"/>
          <w:szCs w:val="32"/>
        </w:rPr>
        <w:t>值合计</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10.5</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70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pStyle w:val="1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b w:val="0"/>
          <w:bCs w:val="0"/>
          <w:color w:val="auto"/>
          <w:sz w:val="32"/>
          <w:szCs w:val="32"/>
          <w:lang w:val="en-US" w:eastAsia="zh-CN" w:bidi="ar"/>
        </w:rPr>
        <w:t>文化建设指导作用</w:t>
      </w:r>
      <w:r>
        <w:rPr>
          <w:rFonts w:hint="eastAsia" w:ascii="仿宋_GB2312" w:hAnsi="仿宋_GB2312" w:eastAsia="仿宋_GB2312" w:cs="仿宋_GB2312"/>
          <w:b w:val="0"/>
          <w:bCs w:val="0"/>
          <w:color w:val="auto"/>
          <w:sz w:val="32"/>
          <w:szCs w:val="32"/>
          <w:lang w:eastAsia="zh-CN" w:bidi="ar"/>
        </w:rPr>
        <w:t>有效提升</w:t>
      </w:r>
      <w:r>
        <w:rPr>
          <w:rFonts w:hint="eastAsia" w:ascii="仿宋_GB2312" w:hAnsi="仿宋_GB2312" w:eastAsia="仿宋_GB2312" w:cs="仿宋_GB2312"/>
          <w:b w:val="0"/>
          <w:bCs w:val="0"/>
          <w:color w:val="auto"/>
          <w:sz w:val="32"/>
          <w:szCs w:val="32"/>
          <w:lang w:bidi="ar"/>
        </w:rPr>
        <w:t>。</w:t>
      </w:r>
      <w:r>
        <w:rPr>
          <w:rFonts w:hint="eastAsia" w:ascii="仿宋_GB2312" w:hAnsi="仿宋_GB2312" w:eastAsia="仿宋_GB2312" w:cs="仿宋_GB2312"/>
          <w:color w:val="auto"/>
          <w:sz w:val="32"/>
          <w:szCs w:val="32"/>
          <w:lang w:bidi="ar"/>
        </w:rPr>
        <w:t>社会效益指标分值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lang w:val="en-US" w:eastAsia="zh-CN"/>
        </w:rPr>
        <w:t>服务对象</w:t>
      </w:r>
      <w:r>
        <w:rPr>
          <w:rFonts w:hint="eastAsia" w:ascii="仿宋_GB2312" w:hAnsi="仿宋_GB2312" w:eastAsia="仿宋_GB2312" w:cs="仿宋_GB2312"/>
          <w:color w:val="auto"/>
          <w:sz w:val="32"/>
          <w:szCs w:val="32"/>
          <w:lang w:eastAsia="zh-CN"/>
        </w:rPr>
        <w:t>满意度得到有效提升</w:t>
      </w:r>
      <w:r>
        <w:rPr>
          <w:rFonts w:hint="eastAsia" w:ascii="仿宋_GB2312" w:hAnsi="仿宋_GB2312" w:eastAsia="仿宋_GB2312" w:cs="仿宋_GB2312"/>
          <w:color w:val="auto"/>
          <w:sz w:val="32"/>
          <w:szCs w:val="32"/>
        </w:rPr>
        <w:t>。满意度指标分值10分，按评分标准得10分，得分率100%。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outlineLvl w:val="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偏离绩效目标的原因及下一步改进措施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bookmarkStart w:id="80" w:name="_Toc908"/>
      <w:r>
        <w:rPr>
          <w:rFonts w:hint="eastAsia" w:ascii="仿宋_GB2312" w:hAnsi="仿宋_GB2312" w:eastAsia="仿宋_GB2312" w:cs="仿宋_GB2312"/>
          <w:b/>
          <w:bCs/>
          <w:color w:val="auto"/>
          <w:kern w:val="2"/>
          <w:sz w:val="32"/>
          <w:szCs w:val="32"/>
          <w:lang w:val="en-US" w:eastAsia="zh-CN" w:bidi="ar-SA"/>
        </w:rPr>
        <w:t>专项资金支付率低、各项指标完成率低。</w:t>
      </w:r>
      <w:r>
        <w:rPr>
          <w:rFonts w:hint="eastAsia" w:ascii="仿宋_GB2312" w:hAnsi="仿宋_GB2312" w:eastAsia="仿宋_GB2312" w:cs="仿宋_GB2312"/>
          <w:sz w:val="32"/>
          <w:szCs w:val="32"/>
          <w:lang w:val="en-US" w:eastAsia="zh-CN"/>
        </w:rPr>
        <w:t>根据工作安排，《规划》编制工作于2025年10月份启动，目前主要完成了前期工作，其中调研、论证、征求意见等环节耗时较长，且中宣部“十五五”文化发展规划和我省“十五五”规划尚未印发，还有部分内容需要对接落实，导致资金支出率低、产出指标等未能完全达成。下一步，将加快规划编制进度，严格把控各时间节点，及时发现和解决编制过程中存在的问题。进一步提升规划编制质量，加强专家论证和公众参与，确保规划内容科学合理、符合实际。提高资金使用效益，加强资金使用绩效评估，确保资金使用规范、透明、高效。</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十九</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color w:val="auto"/>
          <w:sz w:val="32"/>
          <w:szCs w:val="32"/>
        </w:rPr>
        <w:t>公共文化（新华社）</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项目支出预算执行情况</w:t>
      </w:r>
    </w:p>
    <w:p>
      <w:pPr>
        <w:pStyle w:val="5"/>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3"/>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公共文化（新华社）全年预算数为688万元，全年支出数688万元，预算执行率100%，指标分值10分，按评分标准得10分，得分率100%。</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总体绩效目标完成情况分析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本项目自评价得分</w:t>
      </w:r>
      <w:r>
        <w:rPr>
          <w:rFonts w:hint="eastAsia" w:ascii="仿宋_GB2312" w:hAnsi="仿宋_GB2312" w:eastAsia="仿宋_GB2312" w:cs="仿宋_GB2312"/>
          <w:color w:val="auto"/>
          <w:sz w:val="32"/>
          <w:szCs w:val="32"/>
          <w:lang w:val="en-US" w:eastAsia="zh-CN"/>
        </w:rPr>
        <w:t>92.01</w:t>
      </w:r>
      <w:r>
        <w:rPr>
          <w:rFonts w:hint="eastAsia" w:ascii="仿宋_GB2312" w:hAnsi="仿宋_GB2312" w:eastAsia="仿宋_GB2312" w:cs="仿宋_GB2312"/>
          <w:color w:val="auto"/>
          <w:sz w:val="32"/>
          <w:szCs w:val="32"/>
        </w:rPr>
        <w:t>分，自评结果为“优”。主要任务完成情况分析如下：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bCs/>
          <w:color w:val="auto"/>
          <w:sz w:val="32"/>
          <w:szCs w:val="32"/>
        </w:rPr>
        <w:t>预期目标：</w:t>
      </w:r>
      <w:r>
        <w:rPr>
          <w:rFonts w:hint="eastAsia" w:ascii="仿宋_GB2312" w:hAnsi="仿宋_GB2312" w:eastAsia="仿宋_GB2312" w:cs="仿宋_GB2312"/>
          <w:b w:val="0"/>
          <w:bCs w:val="0"/>
          <w:color w:val="auto"/>
          <w:sz w:val="32"/>
          <w:szCs w:val="32"/>
        </w:rPr>
        <w:t>支持县级融媒体中心协同新华社切实提高新闻宣传质量。</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实际完成情况：</w:t>
      </w:r>
      <w:r>
        <w:rPr>
          <w:rFonts w:hint="eastAsia" w:ascii="仿宋_GB2312" w:hAnsi="仿宋_GB2312" w:eastAsia="仿宋_GB2312" w:cs="仿宋_GB2312"/>
          <w:color w:val="auto"/>
          <w:sz w:val="32"/>
          <w:szCs w:val="32"/>
        </w:rPr>
        <w:t>总体绩效目标完成良好，已经为全省86个县区全部开通新华社全媒供稿平台专属账号。全省86个县级融媒体中心（含其电视台、电台、网站、微信公众号、微博、客户端等新媒体平台）可通过该系统下载新华社稿件，确保了新闻信息的导向正确、内容安全。此外，除县级融媒体专线外，新华社还额</w:t>
      </w:r>
      <w:r>
        <w:rPr>
          <w:rFonts w:hint="eastAsia" w:cs="仿宋_GB2312"/>
          <w:color w:val="auto"/>
          <w:sz w:val="32"/>
          <w:szCs w:val="32"/>
          <w:lang w:val="en-US" w:eastAsia="zh-CN"/>
        </w:rPr>
        <w:t>外</w:t>
      </w:r>
      <w:r>
        <w:rPr>
          <w:rFonts w:hint="eastAsia" w:ascii="仿宋_GB2312" w:hAnsi="仿宋_GB2312" w:eastAsia="仿宋_GB2312" w:cs="仿宋_GB2312"/>
          <w:color w:val="auto"/>
          <w:sz w:val="32"/>
          <w:szCs w:val="32"/>
        </w:rPr>
        <w:t>提供了短视频专线，以满足各地视频类稿件的用稿需求。</w:t>
      </w:r>
    </w:p>
    <w:p>
      <w:pPr>
        <w:pStyle w:val="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各项指标完成情况分析</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（1）产出指标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产出指标包括数量指标、质量指标、时效指标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40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36.01</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90.03</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数量指标：</w:t>
      </w:r>
      <w:r>
        <w:rPr>
          <w:rFonts w:hint="eastAsia" w:ascii="仿宋_GB2312" w:hAnsi="仿宋_GB2312" w:eastAsia="仿宋_GB2312" w:cs="仿宋_GB2312"/>
          <w:b w:val="0"/>
          <w:bCs w:val="0"/>
          <w:color w:val="auto"/>
          <w:sz w:val="32"/>
          <w:szCs w:val="32"/>
          <w:lang w:eastAsia="zh-CN" w:bidi="ar"/>
        </w:rPr>
        <w:t>支持县级融媒体中心数量</w:t>
      </w:r>
      <w:r>
        <w:rPr>
          <w:rFonts w:hint="eastAsia" w:ascii="仿宋_GB2312" w:hAnsi="仿宋_GB2312" w:eastAsia="仿宋_GB2312" w:cs="仿宋_GB2312"/>
          <w:b w:val="0"/>
          <w:bCs w:val="0"/>
          <w:color w:val="auto"/>
          <w:sz w:val="32"/>
          <w:szCs w:val="32"/>
          <w:lang w:val="en-US" w:eastAsia="zh-CN" w:bidi="ar"/>
        </w:rPr>
        <w:t>86个</w:t>
      </w:r>
      <w:r>
        <w:rPr>
          <w:rFonts w:hint="eastAsia" w:ascii="仿宋_GB2312" w:hAnsi="仿宋_GB2312" w:eastAsia="仿宋_GB2312" w:cs="仿宋_GB2312"/>
          <w:b w:val="0"/>
          <w:bCs w:val="0"/>
          <w:color w:val="auto"/>
          <w:sz w:val="32"/>
          <w:szCs w:val="32"/>
          <w:lang w:bidi="ar"/>
        </w:rPr>
        <w:t>。指</w:t>
      </w:r>
      <w:r>
        <w:rPr>
          <w:rFonts w:hint="eastAsia" w:ascii="仿宋_GB2312" w:hAnsi="仿宋_GB2312" w:eastAsia="仿宋_GB2312" w:cs="仿宋_GB2312"/>
          <w:color w:val="auto"/>
          <w:sz w:val="32"/>
          <w:szCs w:val="32"/>
          <w:lang w:bidi="ar"/>
        </w:rPr>
        <w:t>标分值合计</w:t>
      </w:r>
      <w:r>
        <w:rPr>
          <w:rFonts w:hint="eastAsia" w:ascii="仿宋_GB2312" w:hAnsi="仿宋_GB2312" w:eastAsia="仿宋_GB2312" w:cs="仿宋_GB2312"/>
          <w:color w:val="auto"/>
          <w:sz w:val="32"/>
          <w:szCs w:val="32"/>
          <w:lang w:val="en-US" w:eastAsia="zh-CN" w:bidi="ar"/>
        </w:rPr>
        <w:t>13.33</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12</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90.02</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质量指标：</w:t>
      </w:r>
      <w:r>
        <w:rPr>
          <w:rFonts w:hint="eastAsia" w:ascii="仿宋_GB2312" w:hAnsi="仿宋_GB2312" w:eastAsia="仿宋_GB2312" w:cs="仿宋_GB2312"/>
          <w:b w:val="0"/>
          <w:bCs w:val="0"/>
          <w:color w:val="auto"/>
          <w:sz w:val="32"/>
          <w:szCs w:val="32"/>
        </w:rPr>
        <w:t>稿件内容贴合互联网网站、社交媒体网络平台传播需求</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rPr>
        <w:t>指标分值合</w:t>
      </w:r>
      <w:r>
        <w:rPr>
          <w:rFonts w:hint="eastAsia" w:ascii="仿宋_GB2312" w:hAnsi="仿宋_GB2312" w:eastAsia="仿宋_GB2312" w:cs="仿宋_GB2312"/>
          <w:color w:val="auto"/>
          <w:sz w:val="32"/>
          <w:szCs w:val="32"/>
        </w:rPr>
        <w:t>计</w:t>
      </w:r>
      <w:r>
        <w:rPr>
          <w:rFonts w:hint="eastAsia" w:ascii="仿宋_GB2312" w:hAnsi="仿宋_GB2312" w:eastAsia="仿宋_GB2312" w:cs="仿宋_GB2312"/>
          <w:color w:val="auto"/>
          <w:sz w:val="32"/>
          <w:szCs w:val="32"/>
          <w:lang w:val="en-US" w:eastAsia="zh-CN"/>
        </w:rPr>
        <w:t>13.33</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90.02</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时效指标：</w:t>
      </w:r>
      <w:r>
        <w:rPr>
          <w:rFonts w:hint="eastAsia" w:ascii="仿宋_GB2312" w:hAnsi="仿宋_GB2312" w:eastAsia="仿宋_GB2312" w:cs="仿宋_GB2312"/>
          <w:b w:val="0"/>
          <w:bCs w:val="0"/>
          <w:color w:val="auto"/>
          <w:sz w:val="32"/>
          <w:szCs w:val="32"/>
          <w:lang w:val="en-US" w:eastAsia="zh-CN"/>
        </w:rPr>
        <w:t>各项供稿工作</w:t>
      </w:r>
      <w:r>
        <w:rPr>
          <w:rFonts w:hint="eastAsia" w:ascii="仿宋_GB2312" w:hAnsi="仿宋_GB2312" w:eastAsia="仿宋_GB2312" w:cs="仿宋_GB2312"/>
          <w:b w:val="0"/>
          <w:bCs w:val="0"/>
          <w:color w:val="auto"/>
          <w:sz w:val="32"/>
          <w:szCs w:val="32"/>
        </w:rPr>
        <w:t>及时</w:t>
      </w:r>
      <w:r>
        <w:rPr>
          <w:rFonts w:hint="eastAsia" w:ascii="仿宋_GB2312" w:hAnsi="仿宋_GB2312" w:eastAsia="仿宋_GB2312" w:cs="仿宋_GB2312"/>
          <w:b w:val="0"/>
          <w:bCs w:val="0"/>
          <w:color w:val="auto"/>
          <w:sz w:val="32"/>
          <w:szCs w:val="32"/>
          <w:lang w:val="en-US" w:eastAsia="zh-CN"/>
        </w:rPr>
        <w:t>准确。</w:t>
      </w:r>
      <w:r>
        <w:rPr>
          <w:rFonts w:hint="eastAsia" w:ascii="仿宋_GB2312" w:hAnsi="仿宋_GB2312" w:eastAsia="仿宋_GB2312" w:cs="仿宋_GB2312"/>
          <w:b w:val="0"/>
          <w:bCs w:val="0"/>
          <w:color w:val="auto"/>
          <w:sz w:val="32"/>
          <w:szCs w:val="32"/>
        </w:rPr>
        <w:t>指标分</w:t>
      </w:r>
      <w:r>
        <w:rPr>
          <w:rFonts w:hint="eastAsia" w:ascii="仿宋_GB2312" w:hAnsi="仿宋_GB2312" w:eastAsia="仿宋_GB2312" w:cs="仿宋_GB2312"/>
          <w:color w:val="auto"/>
          <w:sz w:val="32"/>
          <w:szCs w:val="32"/>
        </w:rPr>
        <w:t>值合计</w:t>
      </w:r>
      <w:r>
        <w:rPr>
          <w:rFonts w:hint="eastAsia" w:ascii="仿宋_GB2312" w:hAnsi="仿宋_GB2312" w:eastAsia="仿宋_GB2312" w:cs="仿宋_GB2312"/>
          <w:color w:val="auto"/>
          <w:sz w:val="32"/>
          <w:szCs w:val="32"/>
          <w:lang w:val="en-US" w:eastAsia="zh-CN"/>
        </w:rPr>
        <w:t>13.34</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12.01</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90.03</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（2）效益指标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效益指标包括社会效益指标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个二级指标，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个三级指标，指标总分值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pStyle w:val="16"/>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b/>
          <w:bCs/>
          <w:color w:val="auto"/>
          <w:sz w:val="32"/>
          <w:szCs w:val="32"/>
          <w:lang w:bidi="ar"/>
        </w:rPr>
        <w:t>社会效益指标：</w:t>
      </w:r>
      <w:r>
        <w:rPr>
          <w:rFonts w:hint="eastAsia" w:ascii="仿宋_GB2312" w:hAnsi="仿宋_GB2312" w:eastAsia="仿宋_GB2312" w:cs="仿宋_GB2312"/>
          <w:b w:val="0"/>
          <w:bCs w:val="0"/>
          <w:color w:val="auto"/>
          <w:sz w:val="32"/>
          <w:szCs w:val="32"/>
          <w:lang w:eastAsia="zh-CN" w:bidi="ar"/>
        </w:rPr>
        <w:t>县级融媒体中心内容建设</w:t>
      </w:r>
      <w:r>
        <w:rPr>
          <w:rFonts w:hint="eastAsia" w:ascii="仿宋_GB2312" w:hAnsi="仿宋_GB2312" w:eastAsia="仿宋_GB2312" w:cs="仿宋_GB2312"/>
          <w:b w:val="0"/>
          <w:bCs w:val="0"/>
          <w:color w:val="auto"/>
          <w:sz w:val="32"/>
          <w:szCs w:val="32"/>
          <w:lang w:val="en-US" w:eastAsia="zh-CN" w:bidi="ar"/>
        </w:rPr>
        <w:t>内容不断丰富</w:t>
      </w:r>
      <w:r>
        <w:rPr>
          <w:rFonts w:hint="eastAsia" w:ascii="仿宋_GB2312" w:hAnsi="仿宋_GB2312" w:eastAsia="仿宋_GB2312" w:cs="仿宋_GB2312"/>
          <w:b w:val="0"/>
          <w:bCs w:val="0"/>
          <w:color w:val="auto"/>
          <w:sz w:val="32"/>
          <w:szCs w:val="32"/>
          <w:lang w:bidi="ar"/>
        </w:rPr>
        <w:t>。</w:t>
      </w:r>
      <w:r>
        <w:rPr>
          <w:rFonts w:hint="eastAsia" w:ascii="仿宋_GB2312" w:hAnsi="仿宋_GB2312" w:eastAsia="仿宋_GB2312" w:cs="仿宋_GB2312"/>
          <w:color w:val="auto"/>
          <w:sz w:val="32"/>
          <w:szCs w:val="32"/>
          <w:lang w:bidi="ar"/>
        </w:rPr>
        <w:t>社会效益指标分值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分，按评分标准得</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（3）满意度指标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lang w:bidi="ar"/>
        </w:rPr>
      </w:pPr>
      <w:r>
        <w:rPr>
          <w:rFonts w:hint="eastAsia" w:ascii="仿宋_GB2312" w:hAnsi="仿宋_GB2312" w:eastAsia="仿宋_GB2312" w:cs="仿宋_GB2312"/>
          <w:color w:val="auto"/>
          <w:sz w:val="32"/>
          <w:szCs w:val="32"/>
          <w:lang w:bidi="ar"/>
        </w:rPr>
        <w:t>满意度指标包括服务对象满意度1个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指标分值10分，自评得分10分，得分率100%。指标分析如下：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服务对象</w:t>
      </w:r>
      <w:r>
        <w:rPr>
          <w:rFonts w:hint="eastAsia" w:ascii="仿宋_GB2312" w:hAnsi="仿宋_GB2312" w:eastAsia="仿宋_GB2312" w:cs="仿宋_GB2312"/>
          <w:b/>
          <w:bCs/>
          <w:color w:val="auto"/>
          <w:sz w:val="32"/>
          <w:szCs w:val="32"/>
        </w:rPr>
        <w:t>满意度指标</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新闻受众</w:t>
      </w:r>
      <w:r>
        <w:rPr>
          <w:rFonts w:hint="eastAsia" w:ascii="仿宋_GB2312" w:hAnsi="仿宋_GB2312" w:eastAsia="仿宋_GB2312" w:cs="仿宋_GB2312"/>
          <w:color w:val="auto"/>
          <w:sz w:val="32"/>
          <w:szCs w:val="32"/>
          <w:lang w:eastAsia="zh-CN"/>
        </w:rPr>
        <w:t>满意度得到有效提升</w:t>
      </w:r>
      <w:r>
        <w:rPr>
          <w:rFonts w:hint="eastAsia" w:ascii="仿宋_GB2312" w:hAnsi="仿宋_GB2312" w:eastAsia="仿宋_GB2312" w:cs="仿宋_GB2312"/>
          <w:color w:val="auto"/>
          <w:sz w:val="32"/>
          <w:szCs w:val="32"/>
        </w:rPr>
        <w:t>。满意度指标分值10分，按评分标准得10分，得分率100%。</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eastAsia="zh-CN"/>
        </w:rPr>
        <w:t>成本</w:t>
      </w:r>
      <w:r>
        <w:rPr>
          <w:rFonts w:hint="eastAsia" w:ascii="仿宋_GB2312" w:hAnsi="仿宋_GB2312" w:eastAsia="仿宋_GB2312" w:cs="仿宋_GB2312"/>
          <w:b/>
          <w:bCs/>
          <w:color w:val="auto"/>
          <w:sz w:val="32"/>
          <w:szCs w:val="32"/>
        </w:rPr>
        <w:t>指标</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bidi="ar"/>
        </w:rPr>
        <w:t>成本</w:t>
      </w:r>
      <w:r>
        <w:rPr>
          <w:rFonts w:hint="eastAsia" w:ascii="仿宋_GB2312" w:hAnsi="仿宋_GB2312" w:eastAsia="仿宋_GB2312" w:cs="仿宋_GB2312"/>
          <w:color w:val="auto"/>
          <w:sz w:val="32"/>
          <w:szCs w:val="32"/>
          <w:lang w:bidi="ar"/>
        </w:rPr>
        <w:t>指标包括</w:t>
      </w:r>
      <w:r>
        <w:rPr>
          <w:rFonts w:hint="eastAsia" w:ascii="仿宋_GB2312" w:hAnsi="仿宋_GB2312" w:eastAsia="仿宋_GB2312" w:cs="仿宋_GB2312"/>
          <w:color w:val="auto"/>
          <w:sz w:val="32"/>
          <w:szCs w:val="32"/>
          <w:lang w:eastAsia="zh-CN" w:bidi="ar"/>
        </w:rPr>
        <w:t>经济成本指标</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个</w:t>
      </w:r>
      <w:r>
        <w:rPr>
          <w:rFonts w:hint="eastAsia" w:ascii="仿宋_GB2312" w:hAnsi="仿宋_GB2312" w:eastAsia="仿宋_GB2312" w:cs="仿宋_GB2312"/>
          <w:color w:val="auto"/>
          <w:sz w:val="32"/>
          <w:szCs w:val="32"/>
          <w:lang w:eastAsia="zh-CN" w:bidi="ar"/>
        </w:rPr>
        <w:t>二</w:t>
      </w:r>
      <w:r>
        <w:rPr>
          <w:rFonts w:hint="eastAsia" w:ascii="仿宋_GB2312" w:hAnsi="仿宋_GB2312" w:eastAsia="仿宋_GB2312" w:cs="仿宋_GB2312"/>
          <w:color w:val="auto"/>
          <w:sz w:val="32"/>
          <w:szCs w:val="32"/>
          <w:lang w:bidi="ar"/>
        </w:rPr>
        <w:t>级指标，</w:t>
      </w:r>
      <w:r>
        <w:rPr>
          <w:rFonts w:hint="eastAsia" w:ascii="仿宋_GB2312" w:hAnsi="仿宋_GB2312" w:eastAsia="仿宋_GB2312" w:cs="仿宋_GB2312"/>
          <w:color w:val="auto"/>
          <w:sz w:val="32"/>
          <w:szCs w:val="32"/>
          <w:lang w:val="en-US" w:eastAsia="zh-CN" w:bidi="ar"/>
        </w:rPr>
        <w:t>1个三级指标，</w:t>
      </w:r>
      <w:r>
        <w:rPr>
          <w:rFonts w:hint="eastAsia" w:ascii="仿宋_GB2312" w:hAnsi="仿宋_GB2312" w:eastAsia="仿宋_GB2312" w:cs="仿宋_GB2312"/>
          <w:color w:val="auto"/>
          <w:sz w:val="32"/>
          <w:szCs w:val="32"/>
          <w:lang w:bidi="ar"/>
        </w:rPr>
        <w:t>指标总分值</w:t>
      </w:r>
      <w:r>
        <w:rPr>
          <w:rFonts w:hint="eastAsia" w:ascii="仿宋_GB2312" w:hAnsi="仿宋_GB2312" w:eastAsia="仿宋_GB2312" w:cs="仿宋_GB2312"/>
          <w:color w:val="auto"/>
          <w:sz w:val="32"/>
          <w:szCs w:val="32"/>
          <w:lang w:val="en-US" w:eastAsia="zh-CN" w:bidi="ar"/>
        </w:rPr>
        <w:t>20</w:t>
      </w:r>
      <w:r>
        <w:rPr>
          <w:rFonts w:hint="eastAsia" w:ascii="仿宋_GB2312" w:hAnsi="仿宋_GB2312" w:eastAsia="仿宋_GB2312" w:cs="仿宋_GB2312"/>
          <w:color w:val="auto"/>
          <w:sz w:val="32"/>
          <w:szCs w:val="32"/>
          <w:lang w:bidi="ar"/>
        </w:rPr>
        <w:t>分，自评得分</w:t>
      </w:r>
      <w:r>
        <w:rPr>
          <w:rFonts w:hint="eastAsia" w:ascii="仿宋_GB2312" w:hAnsi="仿宋_GB2312" w:eastAsia="仿宋_GB2312" w:cs="仿宋_GB2312"/>
          <w:color w:val="auto"/>
          <w:sz w:val="32"/>
          <w:szCs w:val="32"/>
          <w:lang w:val="en-US" w:eastAsia="zh-CN" w:bidi="ar"/>
        </w:rPr>
        <w:t>18</w:t>
      </w:r>
      <w:r>
        <w:rPr>
          <w:rFonts w:hint="eastAsia" w:ascii="仿宋_GB2312" w:hAnsi="仿宋_GB2312" w:eastAsia="仿宋_GB2312" w:cs="仿宋_GB2312"/>
          <w:color w:val="auto"/>
          <w:sz w:val="32"/>
          <w:szCs w:val="32"/>
          <w:lang w:bidi="ar"/>
        </w:rPr>
        <w:t>分，得分率</w:t>
      </w:r>
      <w:r>
        <w:rPr>
          <w:rFonts w:hint="eastAsia" w:ascii="仿宋_GB2312" w:hAnsi="仿宋_GB2312" w:eastAsia="仿宋_GB2312" w:cs="仿宋_GB2312"/>
          <w:color w:val="auto"/>
          <w:sz w:val="32"/>
          <w:szCs w:val="32"/>
          <w:lang w:val="en-US" w:eastAsia="zh-CN" w:bidi="ar"/>
        </w:rPr>
        <w:t>90</w:t>
      </w:r>
      <w:r>
        <w:rPr>
          <w:rFonts w:hint="eastAsia" w:ascii="仿宋_GB2312" w:hAnsi="仿宋_GB2312" w:eastAsia="仿宋_GB2312" w:cs="仿宋_GB2312"/>
          <w:color w:val="auto"/>
          <w:sz w:val="32"/>
          <w:szCs w:val="32"/>
          <w:lang w:bidi="ar"/>
        </w:rPr>
        <w:t>%。指标分析如下：</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auto"/>
          <w:sz w:val="32"/>
          <w:szCs w:val="32"/>
          <w:lang w:eastAsia="zh-CN"/>
        </w:rPr>
        <w:t>经济</w:t>
      </w:r>
      <w:r>
        <w:rPr>
          <w:rFonts w:hint="eastAsia" w:ascii="仿宋_GB2312" w:hAnsi="仿宋_GB2312" w:eastAsia="仿宋_GB2312" w:cs="仿宋_GB2312"/>
          <w:b/>
          <w:bCs/>
          <w:color w:val="auto"/>
          <w:sz w:val="32"/>
          <w:szCs w:val="32"/>
        </w:rPr>
        <w:t>成本指标：</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年项目全年预算资金为</w:t>
      </w:r>
      <w:r>
        <w:rPr>
          <w:rFonts w:hint="eastAsia" w:ascii="仿宋_GB2312" w:hAnsi="仿宋_GB2312" w:eastAsia="仿宋_GB2312" w:cs="仿宋_GB2312"/>
          <w:color w:val="auto"/>
          <w:sz w:val="32"/>
          <w:szCs w:val="32"/>
          <w:lang w:val="en-US" w:eastAsia="zh-CN"/>
        </w:rPr>
        <w:t>688</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各支出项目均在预算金额范围内</w:t>
      </w:r>
      <w:r>
        <w:rPr>
          <w:rFonts w:hint="eastAsia" w:ascii="仿宋_GB2312" w:hAnsi="仿宋_GB2312" w:eastAsia="仿宋_GB2312" w:cs="仿宋_GB2312"/>
          <w:color w:val="auto"/>
          <w:sz w:val="32"/>
          <w:szCs w:val="32"/>
        </w:rPr>
        <w:t>，达到了预期目标值</w:t>
      </w:r>
      <w:r>
        <w:rPr>
          <w:rFonts w:hint="eastAsia" w:ascii="仿宋_GB2312" w:hAnsi="仿宋_GB2312" w:eastAsia="仿宋_GB2312" w:cs="仿宋_GB2312"/>
          <w:color w:val="auto"/>
          <w:sz w:val="32"/>
          <w:szCs w:val="32"/>
          <w:lang w:eastAsia="zh-CN"/>
        </w:rPr>
        <w:t>。</w:t>
      </w:r>
      <w:r>
        <w:rPr>
          <w:rStyle w:val="29"/>
          <w:rFonts w:hint="eastAsia" w:ascii="仿宋_GB2312" w:hAnsi="仿宋_GB2312" w:eastAsia="仿宋_GB2312" w:cs="仿宋_GB2312"/>
          <w:color w:val="auto"/>
          <w:sz w:val="32"/>
          <w:szCs w:val="32"/>
        </w:rPr>
        <w:t>指标</w:t>
      </w:r>
      <w:r>
        <w:rPr>
          <w:rFonts w:hint="eastAsia" w:ascii="仿宋_GB2312" w:hAnsi="仿宋_GB2312" w:eastAsia="仿宋_GB2312" w:cs="仿宋_GB2312"/>
          <w:color w:val="auto"/>
          <w:sz w:val="32"/>
          <w:szCs w:val="32"/>
        </w:rPr>
        <w:t>分值</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分，按评分标准得</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分，得分率</w:t>
      </w:r>
      <w:r>
        <w:rPr>
          <w:rFonts w:hint="eastAsia" w:ascii="仿宋_GB2312" w:hAnsi="仿宋_GB2312" w:eastAsia="仿宋_GB2312" w:cs="仿宋_GB2312"/>
          <w:color w:val="auto"/>
          <w:sz w:val="32"/>
          <w:szCs w:val="32"/>
          <w:lang w:val="en-US" w:eastAsia="zh-CN"/>
        </w:rPr>
        <w:t>90</w:t>
      </w:r>
      <w:r>
        <w:rPr>
          <w:rFonts w:hint="eastAsia" w:ascii="仿宋_GB2312" w:hAnsi="仿宋_GB2312" w:eastAsia="仿宋_GB2312" w:cs="仿宋_GB2312"/>
          <w:color w:val="auto"/>
          <w:sz w:val="32"/>
          <w:szCs w:val="32"/>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2"/>
        <w:textAlignment w:val="auto"/>
        <w:outlineLvl w:val="2"/>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4</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偏离绩效目标的原因及下一步改进措施</w:t>
      </w:r>
    </w:p>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0" w:firstLineChars="200"/>
        <w:textAlignment w:val="auto"/>
        <w:rPr>
          <w:rFonts w:hint="default"/>
          <w:lang w:val="en-US" w:eastAsia="zh-CN"/>
        </w:rPr>
      </w:pPr>
      <w:r>
        <w:rPr>
          <w:rFonts w:hint="eastAsia" w:ascii="仿宋_GB2312" w:hAnsi="仿宋_GB2312" w:eastAsia="仿宋_GB2312" w:cs="仿宋_GB2312"/>
          <w:b w:val="0"/>
          <w:bCs w:val="0"/>
          <w:color w:val="auto"/>
          <w:kern w:val="2"/>
          <w:sz w:val="32"/>
          <w:szCs w:val="32"/>
          <w:lang w:val="en-US" w:eastAsia="zh-CN" w:bidi="ar-SA"/>
        </w:rPr>
        <w:t>未偏离，项目各项绩效目标均圆满完成。</w:t>
      </w:r>
    </w:p>
    <w:bookmarkEnd w:id="54"/>
    <w:bookmarkEnd w:id="80"/>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0" w:firstLineChars="200"/>
        <w:textAlignment w:val="auto"/>
        <w:rPr>
          <w:rFonts w:hint="eastAsia" w:ascii="黑体" w:hAnsi="黑体" w:eastAsia="黑体" w:cs="黑体"/>
          <w:b w:val="0"/>
          <w:bCs w:val="0"/>
          <w:color w:val="auto"/>
          <w:sz w:val="32"/>
          <w:szCs w:val="32"/>
        </w:rPr>
      </w:pPr>
      <w:bookmarkStart w:id="81" w:name="_Toc9323"/>
      <w:bookmarkStart w:id="82" w:name="_Toc40046065"/>
      <w:bookmarkStart w:id="83" w:name="_Toc15820"/>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rPr>
        <w:t>、绩效自评结果拟应用和公开情况</w:t>
      </w:r>
      <w:bookmarkEnd w:id="81"/>
      <w:bookmarkEnd w:id="82"/>
      <w:bookmarkEnd w:id="83"/>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color w:val="auto"/>
          <w:sz w:val="32"/>
          <w:szCs w:val="32"/>
        </w:rPr>
      </w:pPr>
      <w:bookmarkStart w:id="84" w:name="_Toc40046066"/>
      <w:bookmarkStart w:id="85" w:name="_Toc18185"/>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eastAsia="zh-CN"/>
        </w:rPr>
        <w:t>省财政厅有关要求</w:t>
      </w:r>
      <w:r>
        <w:rPr>
          <w:rFonts w:hint="eastAsia" w:ascii="仿宋_GB2312" w:hAnsi="仿宋_GB2312" w:eastAsia="仿宋_GB2312" w:cs="仿宋_GB2312"/>
          <w:color w:val="auto"/>
          <w:sz w:val="32"/>
          <w:szCs w:val="32"/>
        </w:rPr>
        <w:t>，我部绩效自评结果将编入202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年度决算中，随同202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年度部门决算同步公开</w:t>
      </w:r>
      <w:r>
        <w:rPr>
          <w:rFonts w:hint="eastAsia" w:cs="仿宋_GB2312"/>
          <w:color w:val="auto"/>
          <w:sz w:val="32"/>
          <w:szCs w:val="32"/>
          <w:lang w:eastAsia="zh-CN"/>
        </w:rPr>
        <w:t>，</w:t>
      </w:r>
      <w:r>
        <w:rPr>
          <w:rFonts w:hint="eastAsia" w:cs="仿宋_GB2312"/>
          <w:color w:val="auto"/>
          <w:sz w:val="32"/>
          <w:szCs w:val="32"/>
          <w:lang w:val="en-US" w:eastAsia="zh-CN"/>
        </w:rPr>
        <w:t>主动接受社会监督，强化自评结果应用，与下一年度预算编制、资金分配挂钩，提升绩效管理水平</w:t>
      </w:r>
      <w:r>
        <w:rPr>
          <w:rFonts w:hint="eastAsia" w:ascii="仿宋_GB2312" w:hAnsi="仿宋_GB2312" w:eastAsia="仿宋_GB2312" w:cs="仿宋_GB2312"/>
          <w:color w:val="auto"/>
          <w:sz w:val="32"/>
          <w:szCs w:val="32"/>
        </w:rPr>
        <w:t>。</w:t>
      </w:r>
    </w:p>
    <w:p>
      <w:pPr>
        <w:pStyle w:val="4"/>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before="0" w:after="0" w:line="600" w:lineRule="exact"/>
        <w:ind w:left="0" w:leftChars="0" w:right="0" w:rightChars="0" w:firstLine="640" w:firstLineChars="200"/>
        <w:textAlignment w:val="auto"/>
        <w:rPr>
          <w:rFonts w:hint="eastAsia" w:ascii="黑体" w:hAnsi="黑体" w:eastAsia="黑体" w:cs="黑体"/>
          <w:b w:val="0"/>
          <w:bCs w:val="0"/>
          <w:color w:val="auto"/>
          <w:sz w:val="32"/>
          <w:szCs w:val="32"/>
        </w:rPr>
      </w:pPr>
      <w:bookmarkStart w:id="86" w:name="_Toc31502"/>
      <w:r>
        <w:rPr>
          <w:rFonts w:hint="eastAsia" w:ascii="黑体" w:hAnsi="黑体" w:eastAsia="黑体" w:cs="黑体"/>
          <w:b w:val="0"/>
          <w:bCs w:val="0"/>
          <w:color w:val="auto"/>
          <w:sz w:val="32"/>
          <w:szCs w:val="32"/>
          <w:lang w:val="en-US" w:eastAsia="zh-CN"/>
        </w:rPr>
        <w:t>六</w:t>
      </w:r>
      <w:r>
        <w:rPr>
          <w:rFonts w:hint="eastAsia" w:ascii="黑体" w:hAnsi="黑体" w:eastAsia="黑体" w:cs="黑体"/>
          <w:b w:val="0"/>
          <w:bCs w:val="0"/>
          <w:color w:val="auto"/>
          <w:sz w:val="32"/>
          <w:szCs w:val="32"/>
        </w:rPr>
        <w:t>、其他需要说明的问题</w:t>
      </w:r>
      <w:bookmarkEnd w:id="84"/>
      <w:bookmarkEnd w:id="85"/>
      <w:bookmarkEnd w:id="86"/>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lang w:eastAsia="zh-CN"/>
        </w:rPr>
        <w:t>本绩效报告未包括涉密专项、预算指标全额调剂的专项</w:t>
      </w:r>
      <w:r>
        <w:rPr>
          <w:rFonts w:hint="eastAsia" w:ascii="仿宋_GB2312" w:hAnsi="仿宋_GB2312" w:eastAsia="仿宋_GB2312" w:cs="仿宋_GB2312"/>
          <w:b w:val="0"/>
          <w:bCs w:val="0"/>
          <w:color w:val="auto"/>
          <w:sz w:val="32"/>
          <w:szCs w:val="32"/>
          <w:highlight w:val="none"/>
          <w:lang w:val="en-US" w:eastAsia="zh-CN"/>
        </w:rPr>
        <w:t>和对下转移支付专项（财政3.0系统未推送绩效自评任务）</w:t>
      </w:r>
      <w:r>
        <w:rPr>
          <w:rFonts w:hint="eastAsia" w:ascii="仿宋_GB2312" w:hAnsi="仿宋_GB2312" w:eastAsia="仿宋_GB2312" w:cs="仿宋_GB2312"/>
          <w:b w:val="0"/>
          <w:bCs w:val="0"/>
          <w:color w:val="auto"/>
          <w:sz w:val="32"/>
          <w:szCs w:val="32"/>
          <w:highlight w:val="none"/>
          <w:lang w:eastAsia="zh-CN"/>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firstLine="56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2.由于省财政厅年中将宣传文化专项、哲学社会科学规划研究培训和基地建设经费、省“扫黄打非”专项、长征长城黄河国家文化公园建设及省级文化产业发展改革专项、《党的建设》杂志社办刊补助等专项的部分指标对下转移支付或调剂至其他单位使用，导致以上专项全年预算数小于年初预算数。</w:t>
      </w:r>
    </w:p>
    <w:p>
      <w:pPr>
        <w:pStyle w:val="2"/>
        <w:keepNext w:val="0"/>
        <w:keepLines w:val="0"/>
        <w:pageBreakBefore w:val="0"/>
        <w:kinsoku/>
        <w:wordWrap/>
        <w:overflowPunct/>
        <w:autoSpaceDE/>
        <w:autoSpaceDN/>
        <w:bidi w:val="0"/>
        <w:spacing w:line="600" w:lineRule="exact"/>
        <w:ind w:left="0" w:leftChars="0"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3.电影事业发展专项资金为以收定支经费，年初预算是按照上年收入情况预计，全年预算数为全年实际下达数，两者之间存在差额。</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autoSpaceDE/>
        <w:autoSpaceDN/>
        <w:bidi w:val="0"/>
        <w:adjustRightInd w:val="0"/>
        <w:snapToGrid w:val="0"/>
        <w:spacing w:line="600" w:lineRule="exact"/>
        <w:ind w:left="0" w:leftChars="0" w:right="0" w:rightChars="0"/>
        <w:textAlignment w:val="auto"/>
        <w:rPr>
          <w:rFonts w:hint="eastAsia" w:ascii="仿宋_GB2312" w:hAnsi="仿宋_GB2312" w:eastAsia="仿宋_GB2312" w:cs="仿宋_GB2312"/>
          <w:color w:val="auto"/>
          <w:sz w:val="32"/>
          <w:szCs w:val="32"/>
          <w:lang w:eastAsia="zh-CN"/>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等线 Light">
    <w:panose1 w:val="02010600030101010101"/>
    <w:charset w:val="86"/>
    <w:family w:val="auto"/>
    <w:pitch w:val="default"/>
    <w:sig w:usb0="A00002BF" w:usb1="38CF7CFA" w:usb2="00000016" w:usb3="00000000" w:csb0="0004000F" w:csb1="00000000"/>
  </w:font>
  <w:font w:name="东文宋体">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1"/>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360225"/>
    <w:multiLevelType w:val="singleLevel"/>
    <w:tmpl w:val="A9360225"/>
    <w:lvl w:ilvl="0" w:tentative="0">
      <w:start w:val="1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displayBackgroundShape w:val="1"/>
  <w:bordersDoNotSurroundHeader w:val="0"/>
  <w:bordersDoNotSurroundFooter w:val="0"/>
  <w:documentProtection w:enforcement="0"/>
  <w:defaultTabStop w:val="420"/>
  <w:drawingGridHorizontalSpacing w:val="140"/>
  <w:drawingGridVerticalSpacing w:val="38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3935"/>
    <w:rsid w:val="00014ECA"/>
    <w:rsid w:val="000213E1"/>
    <w:rsid w:val="00023797"/>
    <w:rsid w:val="00030303"/>
    <w:rsid w:val="00030D22"/>
    <w:rsid w:val="0003251B"/>
    <w:rsid w:val="0003556E"/>
    <w:rsid w:val="00036419"/>
    <w:rsid w:val="000438ED"/>
    <w:rsid w:val="00045E47"/>
    <w:rsid w:val="000477C7"/>
    <w:rsid w:val="00050062"/>
    <w:rsid w:val="00050C68"/>
    <w:rsid w:val="00051050"/>
    <w:rsid w:val="00054571"/>
    <w:rsid w:val="00054BF9"/>
    <w:rsid w:val="00055545"/>
    <w:rsid w:val="00055E80"/>
    <w:rsid w:val="00057C3C"/>
    <w:rsid w:val="00064BA0"/>
    <w:rsid w:val="00072DC9"/>
    <w:rsid w:val="000768BF"/>
    <w:rsid w:val="000774B6"/>
    <w:rsid w:val="0008092A"/>
    <w:rsid w:val="00080F05"/>
    <w:rsid w:val="000824D5"/>
    <w:rsid w:val="00083EB0"/>
    <w:rsid w:val="000857E7"/>
    <w:rsid w:val="000966CE"/>
    <w:rsid w:val="0009789F"/>
    <w:rsid w:val="000A3069"/>
    <w:rsid w:val="000B162D"/>
    <w:rsid w:val="000B499A"/>
    <w:rsid w:val="000B5EE8"/>
    <w:rsid w:val="000C07A4"/>
    <w:rsid w:val="000C5001"/>
    <w:rsid w:val="000C7A34"/>
    <w:rsid w:val="000D02CC"/>
    <w:rsid w:val="000E21DD"/>
    <w:rsid w:val="000E4E43"/>
    <w:rsid w:val="000E5742"/>
    <w:rsid w:val="000E7CB2"/>
    <w:rsid w:val="000E7EEC"/>
    <w:rsid w:val="001043F0"/>
    <w:rsid w:val="00104D4A"/>
    <w:rsid w:val="00107B85"/>
    <w:rsid w:val="00110405"/>
    <w:rsid w:val="001115C8"/>
    <w:rsid w:val="001144A3"/>
    <w:rsid w:val="001218CA"/>
    <w:rsid w:val="00123295"/>
    <w:rsid w:val="00126C53"/>
    <w:rsid w:val="00127AE4"/>
    <w:rsid w:val="001318D6"/>
    <w:rsid w:val="00142AAB"/>
    <w:rsid w:val="001469EA"/>
    <w:rsid w:val="00146AFC"/>
    <w:rsid w:val="00147219"/>
    <w:rsid w:val="00151394"/>
    <w:rsid w:val="0016489D"/>
    <w:rsid w:val="00166D33"/>
    <w:rsid w:val="00172A27"/>
    <w:rsid w:val="0017794A"/>
    <w:rsid w:val="00187620"/>
    <w:rsid w:val="0018791C"/>
    <w:rsid w:val="00187D6E"/>
    <w:rsid w:val="0019558D"/>
    <w:rsid w:val="0019687D"/>
    <w:rsid w:val="001971E3"/>
    <w:rsid w:val="00197906"/>
    <w:rsid w:val="001A6A95"/>
    <w:rsid w:val="001A730D"/>
    <w:rsid w:val="001B5C69"/>
    <w:rsid w:val="001B6770"/>
    <w:rsid w:val="001D44D2"/>
    <w:rsid w:val="001D6C13"/>
    <w:rsid w:val="001E60FD"/>
    <w:rsid w:val="001E7EB9"/>
    <w:rsid w:val="001F504F"/>
    <w:rsid w:val="001F5884"/>
    <w:rsid w:val="001F5F94"/>
    <w:rsid w:val="00205DB9"/>
    <w:rsid w:val="00210E3F"/>
    <w:rsid w:val="00216967"/>
    <w:rsid w:val="00217014"/>
    <w:rsid w:val="00221093"/>
    <w:rsid w:val="00234C24"/>
    <w:rsid w:val="002359C2"/>
    <w:rsid w:val="002410C1"/>
    <w:rsid w:val="00245EF8"/>
    <w:rsid w:val="00247E57"/>
    <w:rsid w:val="00250CE5"/>
    <w:rsid w:val="002602A0"/>
    <w:rsid w:val="00264319"/>
    <w:rsid w:val="002644B3"/>
    <w:rsid w:val="002646B4"/>
    <w:rsid w:val="00270387"/>
    <w:rsid w:val="002708CD"/>
    <w:rsid w:val="00271551"/>
    <w:rsid w:val="00284101"/>
    <w:rsid w:val="00284FDB"/>
    <w:rsid w:val="002A0996"/>
    <w:rsid w:val="002A138B"/>
    <w:rsid w:val="002A2E00"/>
    <w:rsid w:val="002D0058"/>
    <w:rsid w:val="002D1764"/>
    <w:rsid w:val="002E49E9"/>
    <w:rsid w:val="002E56E5"/>
    <w:rsid w:val="002E66E3"/>
    <w:rsid w:val="002F1545"/>
    <w:rsid w:val="002F41C2"/>
    <w:rsid w:val="00303AF8"/>
    <w:rsid w:val="00303D48"/>
    <w:rsid w:val="003079AE"/>
    <w:rsid w:val="0031124F"/>
    <w:rsid w:val="003157EB"/>
    <w:rsid w:val="00317A62"/>
    <w:rsid w:val="00317D61"/>
    <w:rsid w:val="00324E61"/>
    <w:rsid w:val="00325C0E"/>
    <w:rsid w:val="00327D66"/>
    <w:rsid w:val="00327DA2"/>
    <w:rsid w:val="00331B0F"/>
    <w:rsid w:val="003375F0"/>
    <w:rsid w:val="00342010"/>
    <w:rsid w:val="00344D6E"/>
    <w:rsid w:val="00344EC5"/>
    <w:rsid w:val="00347693"/>
    <w:rsid w:val="00347716"/>
    <w:rsid w:val="003513EB"/>
    <w:rsid w:val="0035288A"/>
    <w:rsid w:val="00361E35"/>
    <w:rsid w:val="00361FD5"/>
    <w:rsid w:val="00372B94"/>
    <w:rsid w:val="00375BFC"/>
    <w:rsid w:val="00376661"/>
    <w:rsid w:val="00380B7B"/>
    <w:rsid w:val="0038204E"/>
    <w:rsid w:val="0038216D"/>
    <w:rsid w:val="00390024"/>
    <w:rsid w:val="00393B9F"/>
    <w:rsid w:val="003950A9"/>
    <w:rsid w:val="003A07DB"/>
    <w:rsid w:val="003C318A"/>
    <w:rsid w:val="003D4293"/>
    <w:rsid w:val="003D4CF5"/>
    <w:rsid w:val="003D7DA5"/>
    <w:rsid w:val="003E77A6"/>
    <w:rsid w:val="00413889"/>
    <w:rsid w:val="004212FA"/>
    <w:rsid w:val="00426852"/>
    <w:rsid w:val="00426E93"/>
    <w:rsid w:val="00430D29"/>
    <w:rsid w:val="00433ABE"/>
    <w:rsid w:val="00436AD4"/>
    <w:rsid w:val="00441182"/>
    <w:rsid w:val="00441A48"/>
    <w:rsid w:val="00452EE4"/>
    <w:rsid w:val="004554DB"/>
    <w:rsid w:val="004557EB"/>
    <w:rsid w:val="0045737A"/>
    <w:rsid w:val="00463F4B"/>
    <w:rsid w:val="004663B5"/>
    <w:rsid w:val="00466DA0"/>
    <w:rsid w:val="004706D3"/>
    <w:rsid w:val="00470CA9"/>
    <w:rsid w:val="00477568"/>
    <w:rsid w:val="00483DFE"/>
    <w:rsid w:val="004858AB"/>
    <w:rsid w:val="0048753B"/>
    <w:rsid w:val="004906C4"/>
    <w:rsid w:val="004A05FD"/>
    <w:rsid w:val="004A433D"/>
    <w:rsid w:val="004A6E01"/>
    <w:rsid w:val="004B6014"/>
    <w:rsid w:val="004B6B3B"/>
    <w:rsid w:val="004C3985"/>
    <w:rsid w:val="004C5A69"/>
    <w:rsid w:val="004D073A"/>
    <w:rsid w:val="004D7481"/>
    <w:rsid w:val="004E081D"/>
    <w:rsid w:val="004E24AA"/>
    <w:rsid w:val="004E3422"/>
    <w:rsid w:val="004E554B"/>
    <w:rsid w:val="004F16D8"/>
    <w:rsid w:val="004F288A"/>
    <w:rsid w:val="004F3B61"/>
    <w:rsid w:val="004F45E7"/>
    <w:rsid w:val="00506184"/>
    <w:rsid w:val="005147A9"/>
    <w:rsid w:val="00515336"/>
    <w:rsid w:val="0052694A"/>
    <w:rsid w:val="00526A60"/>
    <w:rsid w:val="00531442"/>
    <w:rsid w:val="00531C61"/>
    <w:rsid w:val="00532A8C"/>
    <w:rsid w:val="00532BCE"/>
    <w:rsid w:val="005343EF"/>
    <w:rsid w:val="00536B92"/>
    <w:rsid w:val="00542C34"/>
    <w:rsid w:val="00543242"/>
    <w:rsid w:val="0054448D"/>
    <w:rsid w:val="00545820"/>
    <w:rsid w:val="005468ED"/>
    <w:rsid w:val="00546C26"/>
    <w:rsid w:val="005568EA"/>
    <w:rsid w:val="00560FF2"/>
    <w:rsid w:val="00561186"/>
    <w:rsid w:val="005652E3"/>
    <w:rsid w:val="00570223"/>
    <w:rsid w:val="005721A1"/>
    <w:rsid w:val="00577DAE"/>
    <w:rsid w:val="005852D6"/>
    <w:rsid w:val="00586744"/>
    <w:rsid w:val="00586EBD"/>
    <w:rsid w:val="00593157"/>
    <w:rsid w:val="005936DD"/>
    <w:rsid w:val="00595153"/>
    <w:rsid w:val="005A1954"/>
    <w:rsid w:val="005A1D83"/>
    <w:rsid w:val="005A59BB"/>
    <w:rsid w:val="005A6FC9"/>
    <w:rsid w:val="005B3CC1"/>
    <w:rsid w:val="005D274F"/>
    <w:rsid w:val="005D6171"/>
    <w:rsid w:val="005E1A73"/>
    <w:rsid w:val="005F0701"/>
    <w:rsid w:val="005F14FC"/>
    <w:rsid w:val="005F22E9"/>
    <w:rsid w:val="006022B9"/>
    <w:rsid w:val="0060337F"/>
    <w:rsid w:val="00603BEC"/>
    <w:rsid w:val="0060545E"/>
    <w:rsid w:val="00610391"/>
    <w:rsid w:val="0061145E"/>
    <w:rsid w:val="00611FD1"/>
    <w:rsid w:val="006126EA"/>
    <w:rsid w:val="006129AE"/>
    <w:rsid w:val="00614C6E"/>
    <w:rsid w:val="006179FC"/>
    <w:rsid w:val="00617CD2"/>
    <w:rsid w:val="006240C7"/>
    <w:rsid w:val="006249F7"/>
    <w:rsid w:val="00626AE8"/>
    <w:rsid w:val="00631265"/>
    <w:rsid w:val="00632412"/>
    <w:rsid w:val="00634C88"/>
    <w:rsid w:val="006401CF"/>
    <w:rsid w:val="00641242"/>
    <w:rsid w:val="00646DF6"/>
    <w:rsid w:val="00652D58"/>
    <w:rsid w:val="006564C1"/>
    <w:rsid w:val="006609FC"/>
    <w:rsid w:val="00670A76"/>
    <w:rsid w:val="0068764C"/>
    <w:rsid w:val="00691BB9"/>
    <w:rsid w:val="0069632E"/>
    <w:rsid w:val="0069635F"/>
    <w:rsid w:val="006977A0"/>
    <w:rsid w:val="006B062C"/>
    <w:rsid w:val="006B49EC"/>
    <w:rsid w:val="006C61D7"/>
    <w:rsid w:val="006C7761"/>
    <w:rsid w:val="006D516C"/>
    <w:rsid w:val="006D77C4"/>
    <w:rsid w:val="006D7925"/>
    <w:rsid w:val="006E271B"/>
    <w:rsid w:val="006E328B"/>
    <w:rsid w:val="006F0E15"/>
    <w:rsid w:val="006F18DA"/>
    <w:rsid w:val="006F598D"/>
    <w:rsid w:val="006F70D2"/>
    <w:rsid w:val="006F7E6D"/>
    <w:rsid w:val="00703655"/>
    <w:rsid w:val="00705DC4"/>
    <w:rsid w:val="00710ACA"/>
    <w:rsid w:val="00710AD0"/>
    <w:rsid w:val="007128DD"/>
    <w:rsid w:val="0071366B"/>
    <w:rsid w:val="00720B93"/>
    <w:rsid w:val="00723CF1"/>
    <w:rsid w:val="007314A5"/>
    <w:rsid w:val="007341EC"/>
    <w:rsid w:val="00735AAD"/>
    <w:rsid w:val="0073698C"/>
    <w:rsid w:val="00736B4E"/>
    <w:rsid w:val="00736BD7"/>
    <w:rsid w:val="00737791"/>
    <w:rsid w:val="00737DEA"/>
    <w:rsid w:val="00742194"/>
    <w:rsid w:val="007423D7"/>
    <w:rsid w:val="007463AE"/>
    <w:rsid w:val="00750518"/>
    <w:rsid w:val="0076122E"/>
    <w:rsid w:val="007615BC"/>
    <w:rsid w:val="00762BFF"/>
    <w:rsid w:val="00764EFF"/>
    <w:rsid w:val="00774018"/>
    <w:rsid w:val="00774307"/>
    <w:rsid w:val="007829B8"/>
    <w:rsid w:val="00783351"/>
    <w:rsid w:val="00784C7D"/>
    <w:rsid w:val="00784EBE"/>
    <w:rsid w:val="00785F93"/>
    <w:rsid w:val="00786ADA"/>
    <w:rsid w:val="0079678A"/>
    <w:rsid w:val="007A085F"/>
    <w:rsid w:val="007A2F27"/>
    <w:rsid w:val="007A6244"/>
    <w:rsid w:val="007B6DD0"/>
    <w:rsid w:val="007C6772"/>
    <w:rsid w:val="007C7C37"/>
    <w:rsid w:val="007E3139"/>
    <w:rsid w:val="007E5E3E"/>
    <w:rsid w:val="007E6A92"/>
    <w:rsid w:val="007F02D5"/>
    <w:rsid w:val="007F03B2"/>
    <w:rsid w:val="007F17CE"/>
    <w:rsid w:val="007F18C0"/>
    <w:rsid w:val="007F4B64"/>
    <w:rsid w:val="007F6CC7"/>
    <w:rsid w:val="008009A7"/>
    <w:rsid w:val="00801371"/>
    <w:rsid w:val="00801BF4"/>
    <w:rsid w:val="00801E35"/>
    <w:rsid w:val="00815E7F"/>
    <w:rsid w:val="008167FD"/>
    <w:rsid w:val="00822B03"/>
    <w:rsid w:val="00823BEF"/>
    <w:rsid w:val="00826314"/>
    <w:rsid w:val="008266EB"/>
    <w:rsid w:val="00832C18"/>
    <w:rsid w:val="00834EDA"/>
    <w:rsid w:val="00835F80"/>
    <w:rsid w:val="00837799"/>
    <w:rsid w:val="00837D74"/>
    <w:rsid w:val="00840DF1"/>
    <w:rsid w:val="00851294"/>
    <w:rsid w:val="0085154D"/>
    <w:rsid w:val="00851C16"/>
    <w:rsid w:val="0085592A"/>
    <w:rsid w:val="00855C9C"/>
    <w:rsid w:val="00857699"/>
    <w:rsid w:val="008606AC"/>
    <w:rsid w:val="008615E1"/>
    <w:rsid w:val="00861EBA"/>
    <w:rsid w:val="00863D2C"/>
    <w:rsid w:val="0087569A"/>
    <w:rsid w:val="00875E92"/>
    <w:rsid w:val="00877410"/>
    <w:rsid w:val="0088043A"/>
    <w:rsid w:val="008833E2"/>
    <w:rsid w:val="008839F4"/>
    <w:rsid w:val="00883A2E"/>
    <w:rsid w:val="00886EE3"/>
    <w:rsid w:val="008A282F"/>
    <w:rsid w:val="008A5960"/>
    <w:rsid w:val="008A74D9"/>
    <w:rsid w:val="008B10EF"/>
    <w:rsid w:val="008B1BF7"/>
    <w:rsid w:val="008B1FC4"/>
    <w:rsid w:val="008B75C8"/>
    <w:rsid w:val="008C1FAA"/>
    <w:rsid w:val="008D08B8"/>
    <w:rsid w:val="008D2429"/>
    <w:rsid w:val="008D370A"/>
    <w:rsid w:val="008E5D7D"/>
    <w:rsid w:val="008F0773"/>
    <w:rsid w:val="008F402F"/>
    <w:rsid w:val="008F45D4"/>
    <w:rsid w:val="008F7FD2"/>
    <w:rsid w:val="009010AF"/>
    <w:rsid w:val="0090767D"/>
    <w:rsid w:val="00907927"/>
    <w:rsid w:val="00913015"/>
    <w:rsid w:val="00917714"/>
    <w:rsid w:val="00917B4C"/>
    <w:rsid w:val="0092332F"/>
    <w:rsid w:val="009257E0"/>
    <w:rsid w:val="00932B5A"/>
    <w:rsid w:val="00932F4F"/>
    <w:rsid w:val="00940204"/>
    <w:rsid w:val="00941D6D"/>
    <w:rsid w:val="00945E76"/>
    <w:rsid w:val="009501A3"/>
    <w:rsid w:val="0095241E"/>
    <w:rsid w:val="00953ACB"/>
    <w:rsid w:val="00953F19"/>
    <w:rsid w:val="00954940"/>
    <w:rsid w:val="00955336"/>
    <w:rsid w:val="00962555"/>
    <w:rsid w:val="00966C74"/>
    <w:rsid w:val="0096757F"/>
    <w:rsid w:val="00970078"/>
    <w:rsid w:val="009756A3"/>
    <w:rsid w:val="0097611A"/>
    <w:rsid w:val="00976DDD"/>
    <w:rsid w:val="0098773C"/>
    <w:rsid w:val="009A09C2"/>
    <w:rsid w:val="009A1603"/>
    <w:rsid w:val="009A618D"/>
    <w:rsid w:val="009B2E02"/>
    <w:rsid w:val="009B4515"/>
    <w:rsid w:val="009B5D07"/>
    <w:rsid w:val="009B7276"/>
    <w:rsid w:val="009C1943"/>
    <w:rsid w:val="009C281B"/>
    <w:rsid w:val="009C3669"/>
    <w:rsid w:val="009D1E61"/>
    <w:rsid w:val="009D2B82"/>
    <w:rsid w:val="009E059F"/>
    <w:rsid w:val="009E1CA1"/>
    <w:rsid w:val="009E4250"/>
    <w:rsid w:val="009E782C"/>
    <w:rsid w:val="00A009F5"/>
    <w:rsid w:val="00A0551A"/>
    <w:rsid w:val="00A10B53"/>
    <w:rsid w:val="00A1571D"/>
    <w:rsid w:val="00A21879"/>
    <w:rsid w:val="00A21E55"/>
    <w:rsid w:val="00A2246B"/>
    <w:rsid w:val="00A22EC4"/>
    <w:rsid w:val="00A26431"/>
    <w:rsid w:val="00A3199E"/>
    <w:rsid w:val="00A34731"/>
    <w:rsid w:val="00A371D1"/>
    <w:rsid w:val="00A457E5"/>
    <w:rsid w:val="00A5056D"/>
    <w:rsid w:val="00A53B32"/>
    <w:rsid w:val="00A55156"/>
    <w:rsid w:val="00A55D8F"/>
    <w:rsid w:val="00A5649A"/>
    <w:rsid w:val="00A61375"/>
    <w:rsid w:val="00A6552F"/>
    <w:rsid w:val="00A65D37"/>
    <w:rsid w:val="00A66829"/>
    <w:rsid w:val="00A77858"/>
    <w:rsid w:val="00A8460F"/>
    <w:rsid w:val="00A902DD"/>
    <w:rsid w:val="00AA4BF7"/>
    <w:rsid w:val="00AA5086"/>
    <w:rsid w:val="00AA54E0"/>
    <w:rsid w:val="00AA5FD8"/>
    <w:rsid w:val="00AA649B"/>
    <w:rsid w:val="00AB125C"/>
    <w:rsid w:val="00AB2A64"/>
    <w:rsid w:val="00AB39E5"/>
    <w:rsid w:val="00AB4372"/>
    <w:rsid w:val="00AB4710"/>
    <w:rsid w:val="00AB7C1D"/>
    <w:rsid w:val="00AC3B27"/>
    <w:rsid w:val="00AC51F8"/>
    <w:rsid w:val="00AC584C"/>
    <w:rsid w:val="00AD00FC"/>
    <w:rsid w:val="00AD5F1C"/>
    <w:rsid w:val="00AD6776"/>
    <w:rsid w:val="00AD6EB9"/>
    <w:rsid w:val="00AE01AA"/>
    <w:rsid w:val="00AE2F1E"/>
    <w:rsid w:val="00AE6495"/>
    <w:rsid w:val="00AE7506"/>
    <w:rsid w:val="00AF1D41"/>
    <w:rsid w:val="00AF2217"/>
    <w:rsid w:val="00AF3377"/>
    <w:rsid w:val="00AF439D"/>
    <w:rsid w:val="00AF7EB1"/>
    <w:rsid w:val="00B00F01"/>
    <w:rsid w:val="00B0147A"/>
    <w:rsid w:val="00B030F6"/>
    <w:rsid w:val="00B03D40"/>
    <w:rsid w:val="00B07AA2"/>
    <w:rsid w:val="00B103A0"/>
    <w:rsid w:val="00B26956"/>
    <w:rsid w:val="00B3528D"/>
    <w:rsid w:val="00B40196"/>
    <w:rsid w:val="00B41091"/>
    <w:rsid w:val="00B4217A"/>
    <w:rsid w:val="00B47183"/>
    <w:rsid w:val="00B47317"/>
    <w:rsid w:val="00B5003D"/>
    <w:rsid w:val="00B50CA0"/>
    <w:rsid w:val="00B50D73"/>
    <w:rsid w:val="00B523FD"/>
    <w:rsid w:val="00B5466B"/>
    <w:rsid w:val="00B65126"/>
    <w:rsid w:val="00B65A09"/>
    <w:rsid w:val="00B672AD"/>
    <w:rsid w:val="00B70BE4"/>
    <w:rsid w:val="00B7149F"/>
    <w:rsid w:val="00B72427"/>
    <w:rsid w:val="00B73C88"/>
    <w:rsid w:val="00B77CE9"/>
    <w:rsid w:val="00B80D6E"/>
    <w:rsid w:val="00B81903"/>
    <w:rsid w:val="00B81925"/>
    <w:rsid w:val="00B93DB3"/>
    <w:rsid w:val="00BA0ED0"/>
    <w:rsid w:val="00BA6804"/>
    <w:rsid w:val="00BA6A9B"/>
    <w:rsid w:val="00BB0F32"/>
    <w:rsid w:val="00BB196E"/>
    <w:rsid w:val="00BB4FE4"/>
    <w:rsid w:val="00BB5598"/>
    <w:rsid w:val="00BB55A2"/>
    <w:rsid w:val="00BB5C2B"/>
    <w:rsid w:val="00BB7853"/>
    <w:rsid w:val="00BC4937"/>
    <w:rsid w:val="00BD137A"/>
    <w:rsid w:val="00BD2D34"/>
    <w:rsid w:val="00BD61A7"/>
    <w:rsid w:val="00BE2E81"/>
    <w:rsid w:val="00BE411A"/>
    <w:rsid w:val="00BF36F8"/>
    <w:rsid w:val="00BF4C70"/>
    <w:rsid w:val="00C0001D"/>
    <w:rsid w:val="00C01614"/>
    <w:rsid w:val="00C058B7"/>
    <w:rsid w:val="00C120DA"/>
    <w:rsid w:val="00C20D51"/>
    <w:rsid w:val="00C252A8"/>
    <w:rsid w:val="00C27829"/>
    <w:rsid w:val="00C27AAF"/>
    <w:rsid w:val="00C313EE"/>
    <w:rsid w:val="00C35A29"/>
    <w:rsid w:val="00C414F6"/>
    <w:rsid w:val="00C456DE"/>
    <w:rsid w:val="00C45FEC"/>
    <w:rsid w:val="00C5285C"/>
    <w:rsid w:val="00C5399E"/>
    <w:rsid w:val="00C53E3E"/>
    <w:rsid w:val="00C540D8"/>
    <w:rsid w:val="00C54C50"/>
    <w:rsid w:val="00C56789"/>
    <w:rsid w:val="00C611A7"/>
    <w:rsid w:val="00C67399"/>
    <w:rsid w:val="00C7001B"/>
    <w:rsid w:val="00C74761"/>
    <w:rsid w:val="00C771B0"/>
    <w:rsid w:val="00C7726E"/>
    <w:rsid w:val="00C82C2F"/>
    <w:rsid w:val="00C85AC3"/>
    <w:rsid w:val="00C85D1D"/>
    <w:rsid w:val="00C860E0"/>
    <w:rsid w:val="00C873DF"/>
    <w:rsid w:val="00C934D2"/>
    <w:rsid w:val="00C9472D"/>
    <w:rsid w:val="00CA28AE"/>
    <w:rsid w:val="00CA3D3D"/>
    <w:rsid w:val="00CA5717"/>
    <w:rsid w:val="00CB5010"/>
    <w:rsid w:val="00CC32F6"/>
    <w:rsid w:val="00CD23A9"/>
    <w:rsid w:val="00CD3E82"/>
    <w:rsid w:val="00CD633F"/>
    <w:rsid w:val="00CD7780"/>
    <w:rsid w:val="00CE4524"/>
    <w:rsid w:val="00CE5A1C"/>
    <w:rsid w:val="00D01983"/>
    <w:rsid w:val="00D01B15"/>
    <w:rsid w:val="00D026D7"/>
    <w:rsid w:val="00D0488E"/>
    <w:rsid w:val="00D04D5E"/>
    <w:rsid w:val="00D05F42"/>
    <w:rsid w:val="00D1068A"/>
    <w:rsid w:val="00D12061"/>
    <w:rsid w:val="00D14993"/>
    <w:rsid w:val="00D225DF"/>
    <w:rsid w:val="00D25CE6"/>
    <w:rsid w:val="00D419C4"/>
    <w:rsid w:val="00D43F92"/>
    <w:rsid w:val="00D51DE9"/>
    <w:rsid w:val="00D52778"/>
    <w:rsid w:val="00D56518"/>
    <w:rsid w:val="00D5692A"/>
    <w:rsid w:val="00D57E76"/>
    <w:rsid w:val="00D60048"/>
    <w:rsid w:val="00D62853"/>
    <w:rsid w:val="00D62F73"/>
    <w:rsid w:val="00D643F0"/>
    <w:rsid w:val="00D645E1"/>
    <w:rsid w:val="00D6488D"/>
    <w:rsid w:val="00D6776F"/>
    <w:rsid w:val="00D747A1"/>
    <w:rsid w:val="00D75AEF"/>
    <w:rsid w:val="00D77E18"/>
    <w:rsid w:val="00D81ACA"/>
    <w:rsid w:val="00D82551"/>
    <w:rsid w:val="00D834BD"/>
    <w:rsid w:val="00D8504B"/>
    <w:rsid w:val="00D862CF"/>
    <w:rsid w:val="00D864A9"/>
    <w:rsid w:val="00D87185"/>
    <w:rsid w:val="00D912AB"/>
    <w:rsid w:val="00D96A31"/>
    <w:rsid w:val="00D97AB3"/>
    <w:rsid w:val="00DA3A5E"/>
    <w:rsid w:val="00DA40DB"/>
    <w:rsid w:val="00DA491D"/>
    <w:rsid w:val="00DA5A19"/>
    <w:rsid w:val="00DA62DA"/>
    <w:rsid w:val="00DB506A"/>
    <w:rsid w:val="00DB52BF"/>
    <w:rsid w:val="00DB6D25"/>
    <w:rsid w:val="00DB79CA"/>
    <w:rsid w:val="00DC0879"/>
    <w:rsid w:val="00DC503D"/>
    <w:rsid w:val="00DC5AAB"/>
    <w:rsid w:val="00DD1DBF"/>
    <w:rsid w:val="00DD280A"/>
    <w:rsid w:val="00DD6732"/>
    <w:rsid w:val="00DD7337"/>
    <w:rsid w:val="00DE32D2"/>
    <w:rsid w:val="00DF0F36"/>
    <w:rsid w:val="00DF3FD9"/>
    <w:rsid w:val="00E00E92"/>
    <w:rsid w:val="00E05B09"/>
    <w:rsid w:val="00E0629D"/>
    <w:rsid w:val="00E13B7A"/>
    <w:rsid w:val="00E1700A"/>
    <w:rsid w:val="00E20DE7"/>
    <w:rsid w:val="00E21B75"/>
    <w:rsid w:val="00E25098"/>
    <w:rsid w:val="00E255CA"/>
    <w:rsid w:val="00E27599"/>
    <w:rsid w:val="00E3223F"/>
    <w:rsid w:val="00E33228"/>
    <w:rsid w:val="00E35C20"/>
    <w:rsid w:val="00E362F8"/>
    <w:rsid w:val="00E3681D"/>
    <w:rsid w:val="00E36F53"/>
    <w:rsid w:val="00E41A70"/>
    <w:rsid w:val="00E4676F"/>
    <w:rsid w:val="00E568C5"/>
    <w:rsid w:val="00E6023B"/>
    <w:rsid w:val="00E61E32"/>
    <w:rsid w:val="00E634A2"/>
    <w:rsid w:val="00E654AB"/>
    <w:rsid w:val="00E6608D"/>
    <w:rsid w:val="00E70B59"/>
    <w:rsid w:val="00E7171F"/>
    <w:rsid w:val="00E72813"/>
    <w:rsid w:val="00E7329C"/>
    <w:rsid w:val="00E733C0"/>
    <w:rsid w:val="00E73BEF"/>
    <w:rsid w:val="00E74093"/>
    <w:rsid w:val="00E76EB3"/>
    <w:rsid w:val="00E80C8D"/>
    <w:rsid w:val="00E9463E"/>
    <w:rsid w:val="00E97D39"/>
    <w:rsid w:val="00EB4E37"/>
    <w:rsid w:val="00EB670F"/>
    <w:rsid w:val="00EB7798"/>
    <w:rsid w:val="00EC001C"/>
    <w:rsid w:val="00EC068E"/>
    <w:rsid w:val="00ED2943"/>
    <w:rsid w:val="00ED520A"/>
    <w:rsid w:val="00EE010E"/>
    <w:rsid w:val="00EE15C8"/>
    <w:rsid w:val="00EE7201"/>
    <w:rsid w:val="00EE74B7"/>
    <w:rsid w:val="00EF2F09"/>
    <w:rsid w:val="00EF38AF"/>
    <w:rsid w:val="00EF6407"/>
    <w:rsid w:val="00F01ABD"/>
    <w:rsid w:val="00F021AD"/>
    <w:rsid w:val="00F0368F"/>
    <w:rsid w:val="00F0646E"/>
    <w:rsid w:val="00F10D0F"/>
    <w:rsid w:val="00F11234"/>
    <w:rsid w:val="00F12554"/>
    <w:rsid w:val="00F158FF"/>
    <w:rsid w:val="00F17361"/>
    <w:rsid w:val="00F22925"/>
    <w:rsid w:val="00F446D4"/>
    <w:rsid w:val="00F47E67"/>
    <w:rsid w:val="00F502EC"/>
    <w:rsid w:val="00F55B04"/>
    <w:rsid w:val="00F55E6E"/>
    <w:rsid w:val="00F61E47"/>
    <w:rsid w:val="00F678D2"/>
    <w:rsid w:val="00F80495"/>
    <w:rsid w:val="00F8086A"/>
    <w:rsid w:val="00F85A64"/>
    <w:rsid w:val="00F85C0A"/>
    <w:rsid w:val="00F87810"/>
    <w:rsid w:val="00F87CB6"/>
    <w:rsid w:val="00F93374"/>
    <w:rsid w:val="00F9743F"/>
    <w:rsid w:val="00FA1032"/>
    <w:rsid w:val="00FA463E"/>
    <w:rsid w:val="00FA4696"/>
    <w:rsid w:val="00FB3DB1"/>
    <w:rsid w:val="00FC0551"/>
    <w:rsid w:val="00FD06F9"/>
    <w:rsid w:val="00FD29F8"/>
    <w:rsid w:val="00FD5C73"/>
    <w:rsid w:val="00FD790F"/>
    <w:rsid w:val="00FD7B33"/>
    <w:rsid w:val="00FE29BE"/>
    <w:rsid w:val="00FE3538"/>
    <w:rsid w:val="00FE480E"/>
    <w:rsid w:val="00FE4F84"/>
    <w:rsid w:val="00FE6E6A"/>
    <w:rsid w:val="00FF29F9"/>
    <w:rsid w:val="012D74FD"/>
    <w:rsid w:val="01460296"/>
    <w:rsid w:val="014C4C54"/>
    <w:rsid w:val="01A205A0"/>
    <w:rsid w:val="01B110AA"/>
    <w:rsid w:val="01D134FA"/>
    <w:rsid w:val="01D866AD"/>
    <w:rsid w:val="020E69AE"/>
    <w:rsid w:val="0270772A"/>
    <w:rsid w:val="02827BE5"/>
    <w:rsid w:val="02975E13"/>
    <w:rsid w:val="02A114CA"/>
    <w:rsid w:val="02DB05B8"/>
    <w:rsid w:val="03BB05C7"/>
    <w:rsid w:val="03E10731"/>
    <w:rsid w:val="03E30206"/>
    <w:rsid w:val="04300CF9"/>
    <w:rsid w:val="04680B0A"/>
    <w:rsid w:val="04CF3D20"/>
    <w:rsid w:val="04FC3B5A"/>
    <w:rsid w:val="0529714B"/>
    <w:rsid w:val="05493B8F"/>
    <w:rsid w:val="05560B0F"/>
    <w:rsid w:val="056D5A1A"/>
    <w:rsid w:val="05FE0BC2"/>
    <w:rsid w:val="061301E2"/>
    <w:rsid w:val="065D259E"/>
    <w:rsid w:val="066F0C0D"/>
    <w:rsid w:val="06A861F4"/>
    <w:rsid w:val="06C37354"/>
    <w:rsid w:val="06E177EF"/>
    <w:rsid w:val="06FC1B39"/>
    <w:rsid w:val="07397DB4"/>
    <w:rsid w:val="08256636"/>
    <w:rsid w:val="0858162E"/>
    <w:rsid w:val="092B5255"/>
    <w:rsid w:val="09551386"/>
    <w:rsid w:val="09616305"/>
    <w:rsid w:val="09627CE6"/>
    <w:rsid w:val="098553EC"/>
    <w:rsid w:val="098A11CB"/>
    <w:rsid w:val="099C6D23"/>
    <w:rsid w:val="09AA1EEB"/>
    <w:rsid w:val="0A683722"/>
    <w:rsid w:val="0AA2080A"/>
    <w:rsid w:val="0AB37E5D"/>
    <w:rsid w:val="0AC7322F"/>
    <w:rsid w:val="0AF9353D"/>
    <w:rsid w:val="0B143BA0"/>
    <w:rsid w:val="0B233797"/>
    <w:rsid w:val="0B275F39"/>
    <w:rsid w:val="0B375515"/>
    <w:rsid w:val="0B6B1E99"/>
    <w:rsid w:val="0C15198A"/>
    <w:rsid w:val="0C1D5982"/>
    <w:rsid w:val="0C9D0B20"/>
    <w:rsid w:val="0CEF2D90"/>
    <w:rsid w:val="0D06189F"/>
    <w:rsid w:val="0D0A2225"/>
    <w:rsid w:val="0D381129"/>
    <w:rsid w:val="0D3D1A44"/>
    <w:rsid w:val="0D4D0B9D"/>
    <w:rsid w:val="0D5B442D"/>
    <w:rsid w:val="0D6F02CD"/>
    <w:rsid w:val="0D706590"/>
    <w:rsid w:val="0DA111B9"/>
    <w:rsid w:val="0DCE061A"/>
    <w:rsid w:val="0DEB46D1"/>
    <w:rsid w:val="0E0662D9"/>
    <w:rsid w:val="0E2C144A"/>
    <w:rsid w:val="0E367EBE"/>
    <w:rsid w:val="0E7C74C1"/>
    <w:rsid w:val="0EB27AC1"/>
    <w:rsid w:val="0EFC33C4"/>
    <w:rsid w:val="0F2B2A10"/>
    <w:rsid w:val="10030D5F"/>
    <w:rsid w:val="100627FC"/>
    <w:rsid w:val="10166AC3"/>
    <w:rsid w:val="10622247"/>
    <w:rsid w:val="1068327B"/>
    <w:rsid w:val="107E0A68"/>
    <w:rsid w:val="10BB7361"/>
    <w:rsid w:val="10D75718"/>
    <w:rsid w:val="11151CB7"/>
    <w:rsid w:val="11377CCA"/>
    <w:rsid w:val="12011EBA"/>
    <w:rsid w:val="126F5BEF"/>
    <w:rsid w:val="128336CC"/>
    <w:rsid w:val="128A5333"/>
    <w:rsid w:val="129F535D"/>
    <w:rsid w:val="1361717C"/>
    <w:rsid w:val="137868FB"/>
    <w:rsid w:val="1385099B"/>
    <w:rsid w:val="13E66F15"/>
    <w:rsid w:val="14A41DFC"/>
    <w:rsid w:val="15167C7E"/>
    <w:rsid w:val="15406CDA"/>
    <w:rsid w:val="15964527"/>
    <w:rsid w:val="15C138B6"/>
    <w:rsid w:val="15D0346C"/>
    <w:rsid w:val="15DF5AAC"/>
    <w:rsid w:val="163602F9"/>
    <w:rsid w:val="16740376"/>
    <w:rsid w:val="169D2DDC"/>
    <w:rsid w:val="176C18A3"/>
    <w:rsid w:val="17900725"/>
    <w:rsid w:val="17AF544B"/>
    <w:rsid w:val="17D54BDE"/>
    <w:rsid w:val="17F155BE"/>
    <w:rsid w:val="17FC0372"/>
    <w:rsid w:val="18893450"/>
    <w:rsid w:val="18C179CD"/>
    <w:rsid w:val="18D33A39"/>
    <w:rsid w:val="18E71257"/>
    <w:rsid w:val="191A00CD"/>
    <w:rsid w:val="194A1770"/>
    <w:rsid w:val="19650F36"/>
    <w:rsid w:val="196A0DCC"/>
    <w:rsid w:val="196D503A"/>
    <w:rsid w:val="19716262"/>
    <w:rsid w:val="198703DE"/>
    <w:rsid w:val="19B246A2"/>
    <w:rsid w:val="19B6704B"/>
    <w:rsid w:val="19B92E98"/>
    <w:rsid w:val="19E06627"/>
    <w:rsid w:val="1A06549A"/>
    <w:rsid w:val="1A646862"/>
    <w:rsid w:val="1AAF2090"/>
    <w:rsid w:val="1AD13677"/>
    <w:rsid w:val="1B51083A"/>
    <w:rsid w:val="1BB85F8A"/>
    <w:rsid w:val="1BF90F14"/>
    <w:rsid w:val="1BFE6EF5"/>
    <w:rsid w:val="1C984EE8"/>
    <w:rsid w:val="1CA71BE0"/>
    <w:rsid w:val="1CB16A2E"/>
    <w:rsid w:val="1CBB483D"/>
    <w:rsid w:val="1CEE28A0"/>
    <w:rsid w:val="1CFD2A80"/>
    <w:rsid w:val="1D19047B"/>
    <w:rsid w:val="1D36327E"/>
    <w:rsid w:val="1D5736F3"/>
    <w:rsid w:val="1DC5272D"/>
    <w:rsid w:val="1DF5297E"/>
    <w:rsid w:val="1E247023"/>
    <w:rsid w:val="1EE354BE"/>
    <w:rsid w:val="1EF12F35"/>
    <w:rsid w:val="1EF976F9"/>
    <w:rsid w:val="202B1BD0"/>
    <w:rsid w:val="20454C87"/>
    <w:rsid w:val="20457243"/>
    <w:rsid w:val="204F7BC9"/>
    <w:rsid w:val="205B65A6"/>
    <w:rsid w:val="206801A4"/>
    <w:rsid w:val="20916DE6"/>
    <w:rsid w:val="20BE0BB4"/>
    <w:rsid w:val="2128121F"/>
    <w:rsid w:val="21514033"/>
    <w:rsid w:val="21AF455D"/>
    <w:rsid w:val="21D60DEC"/>
    <w:rsid w:val="21E36998"/>
    <w:rsid w:val="220E0E57"/>
    <w:rsid w:val="223D15F2"/>
    <w:rsid w:val="232A1592"/>
    <w:rsid w:val="2358201E"/>
    <w:rsid w:val="23A32035"/>
    <w:rsid w:val="23B5292C"/>
    <w:rsid w:val="241A33A2"/>
    <w:rsid w:val="243279D1"/>
    <w:rsid w:val="246A5641"/>
    <w:rsid w:val="24924B81"/>
    <w:rsid w:val="24AC7BCC"/>
    <w:rsid w:val="24AE2C07"/>
    <w:rsid w:val="24DD54C5"/>
    <w:rsid w:val="25405EA0"/>
    <w:rsid w:val="257824A5"/>
    <w:rsid w:val="25B84F05"/>
    <w:rsid w:val="25C70E6B"/>
    <w:rsid w:val="25CF536F"/>
    <w:rsid w:val="26312560"/>
    <w:rsid w:val="26754FA4"/>
    <w:rsid w:val="26CC0B5C"/>
    <w:rsid w:val="26E12F73"/>
    <w:rsid w:val="26E60E81"/>
    <w:rsid w:val="27552CCD"/>
    <w:rsid w:val="27AE44D5"/>
    <w:rsid w:val="27BB6F40"/>
    <w:rsid w:val="27D52010"/>
    <w:rsid w:val="27D751CD"/>
    <w:rsid w:val="281A370D"/>
    <w:rsid w:val="28374059"/>
    <w:rsid w:val="286B34B1"/>
    <w:rsid w:val="286D1FFA"/>
    <w:rsid w:val="287501EA"/>
    <w:rsid w:val="288330EC"/>
    <w:rsid w:val="291449F4"/>
    <w:rsid w:val="2935379B"/>
    <w:rsid w:val="299236D3"/>
    <w:rsid w:val="29AF4869"/>
    <w:rsid w:val="29BD0681"/>
    <w:rsid w:val="29E27272"/>
    <w:rsid w:val="2A1740DD"/>
    <w:rsid w:val="2A756BFF"/>
    <w:rsid w:val="2A8131D0"/>
    <w:rsid w:val="2A8C226B"/>
    <w:rsid w:val="2B6B36DF"/>
    <w:rsid w:val="2B922BD8"/>
    <w:rsid w:val="2BA2009E"/>
    <w:rsid w:val="2BAE57DA"/>
    <w:rsid w:val="2BF35C97"/>
    <w:rsid w:val="2C0217D7"/>
    <w:rsid w:val="2C103440"/>
    <w:rsid w:val="2C376616"/>
    <w:rsid w:val="2C6010CE"/>
    <w:rsid w:val="2CA82E25"/>
    <w:rsid w:val="2CDC58D2"/>
    <w:rsid w:val="2D261EF2"/>
    <w:rsid w:val="2D37297D"/>
    <w:rsid w:val="2D863F91"/>
    <w:rsid w:val="2DBA164E"/>
    <w:rsid w:val="2E05655E"/>
    <w:rsid w:val="2E485941"/>
    <w:rsid w:val="2E5C35D3"/>
    <w:rsid w:val="2E6D147E"/>
    <w:rsid w:val="2EAC48A7"/>
    <w:rsid w:val="2EC35BB1"/>
    <w:rsid w:val="2EE24D32"/>
    <w:rsid w:val="2F123F97"/>
    <w:rsid w:val="2FC57C35"/>
    <w:rsid w:val="2FD1626B"/>
    <w:rsid w:val="2FD84C52"/>
    <w:rsid w:val="2FDC22C6"/>
    <w:rsid w:val="303B33CF"/>
    <w:rsid w:val="30480B43"/>
    <w:rsid w:val="30551817"/>
    <w:rsid w:val="305A4C4D"/>
    <w:rsid w:val="3098483F"/>
    <w:rsid w:val="309A5815"/>
    <w:rsid w:val="31591391"/>
    <w:rsid w:val="318D33AD"/>
    <w:rsid w:val="319D58E7"/>
    <w:rsid w:val="323779AC"/>
    <w:rsid w:val="335336C1"/>
    <w:rsid w:val="336E3963"/>
    <w:rsid w:val="338402C4"/>
    <w:rsid w:val="33C61EE7"/>
    <w:rsid w:val="34136FD9"/>
    <w:rsid w:val="3434509F"/>
    <w:rsid w:val="345A27B4"/>
    <w:rsid w:val="34C325D3"/>
    <w:rsid w:val="34D41A4E"/>
    <w:rsid w:val="35001BE6"/>
    <w:rsid w:val="35692E58"/>
    <w:rsid w:val="356D1797"/>
    <w:rsid w:val="35941302"/>
    <w:rsid w:val="359F6F8F"/>
    <w:rsid w:val="36226F3E"/>
    <w:rsid w:val="363A0ECB"/>
    <w:rsid w:val="364572F9"/>
    <w:rsid w:val="36BF2046"/>
    <w:rsid w:val="3704282B"/>
    <w:rsid w:val="380B1474"/>
    <w:rsid w:val="38957B7A"/>
    <w:rsid w:val="38A26297"/>
    <w:rsid w:val="3910579F"/>
    <w:rsid w:val="39821825"/>
    <w:rsid w:val="3A7E7113"/>
    <w:rsid w:val="3A844047"/>
    <w:rsid w:val="3A920C54"/>
    <w:rsid w:val="3AA82343"/>
    <w:rsid w:val="3ABC5202"/>
    <w:rsid w:val="3AFA07B3"/>
    <w:rsid w:val="3B035449"/>
    <w:rsid w:val="3B265BA6"/>
    <w:rsid w:val="3B55187D"/>
    <w:rsid w:val="3B620AB0"/>
    <w:rsid w:val="3B85198C"/>
    <w:rsid w:val="3BC202CF"/>
    <w:rsid w:val="3C1B0F3F"/>
    <w:rsid w:val="3C3240EE"/>
    <w:rsid w:val="3C537AA2"/>
    <w:rsid w:val="3CB42B91"/>
    <w:rsid w:val="3CE46FFB"/>
    <w:rsid w:val="3CF012A4"/>
    <w:rsid w:val="3CF462EE"/>
    <w:rsid w:val="3D6066C5"/>
    <w:rsid w:val="3DD733AE"/>
    <w:rsid w:val="3DDF7964"/>
    <w:rsid w:val="3E1F70B5"/>
    <w:rsid w:val="3E204622"/>
    <w:rsid w:val="3E3E778E"/>
    <w:rsid w:val="3E845F10"/>
    <w:rsid w:val="3EBE149D"/>
    <w:rsid w:val="3EEA4CD8"/>
    <w:rsid w:val="3F060CF1"/>
    <w:rsid w:val="3F2127C2"/>
    <w:rsid w:val="3F361678"/>
    <w:rsid w:val="3F3852D7"/>
    <w:rsid w:val="3F561C89"/>
    <w:rsid w:val="3F585260"/>
    <w:rsid w:val="3FA7433D"/>
    <w:rsid w:val="40D13954"/>
    <w:rsid w:val="4120631A"/>
    <w:rsid w:val="41246A78"/>
    <w:rsid w:val="413D2AA6"/>
    <w:rsid w:val="415C1C4F"/>
    <w:rsid w:val="41936044"/>
    <w:rsid w:val="41980015"/>
    <w:rsid w:val="41C60882"/>
    <w:rsid w:val="42024562"/>
    <w:rsid w:val="421156A9"/>
    <w:rsid w:val="4226399D"/>
    <w:rsid w:val="426B577E"/>
    <w:rsid w:val="42812E48"/>
    <w:rsid w:val="428A1DFB"/>
    <w:rsid w:val="42B55EDB"/>
    <w:rsid w:val="42E204B3"/>
    <w:rsid w:val="42E36295"/>
    <w:rsid w:val="431D4898"/>
    <w:rsid w:val="435857B7"/>
    <w:rsid w:val="43B05EC8"/>
    <w:rsid w:val="43E80BF8"/>
    <w:rsid w:val="441260EB"/>
    <w:rsid w:val="44746CD1"/>
    <w:rsid w:val="45124F88"/>
    <w:rsid w:val="45335E81"/>
    <w:rsid w:val="4566284F"/>
    <w:rsid w:val="470F5357"/>
    <w:rsid w:val="47465421"/>
    <w:rsid w:val="477418BA"/>
    <w:rsid w:val="477D32AC"/>
    <w:rsid w:val="47B13366"/>
    <w:rsid w:val="48357248"/>
    <w:rsid w:val="48407793"/>
    <w:rsid w:val="484847BC"/>
    <w:rsid w:val="484B3711"/>
    <w:rsid w:val="484C6A1E"/>
    <w:rsid w:val="48515F5F"/>
    <w:rsid w:val="48C518F7"/>
    <w:rsid w:val="494C0610"/>
    <w:rsid w:val="498864AA"/>
    <w:rsid w:val="49D22F38"/>
    <w:rsid w:val="49E97FD0"/>
    <w:rsid w:val="4A471933"/>
    <w:rsid w:val="4A56023D"/>
    <w:rsid w:val="4AED2C47"/>
    <w:rsid w:val="4B1C6F5B"/>
    <w:rsid w:val="4B1E2118"/>
    <w:rsid w:val="4B452271"/>
    <w:rsid w:val="4B58121B"/>
    <w:rsid w:val="4B8037DF"/>
    <w:rsid w:val="4BAA1FEE"/>
    <w:rsid w:val="4BFF0BF2"/>
    <w:rsid w:val="4C47699D"/>
    <w:rsid w:val="4C5665F7"/>
    <w:rsid w:val="4C7F267A"/>
    <w:rsid w:val="4CA40B7C"/>
    <w:rsid w:val="4CB044A3"/>
    <w:rsid w:val="4D5C17CB"/>
    <w:rsid w:val="4D5E7DEA"/>
    <w:rsid w:val="4DCD2A54"/>
    <w:rsid w:val="4DD401E6"/>
    <w:rsid w:val="4DDA23BB"/>
    <w:rsid w:val="4E01329B"/>
    <w:rsid w:val="4E026C01"/>
    <w:rsid w:val="4E066352"/>
    <w:rsid w:val="4E086F29"/>
    <w:rsid w:val="4E097D1B"/>
    <w:rsid w:val="4E240C38"/>
    <w:rsid w:val="4E36559D"/>
    <w:rsid w:val="4E3F7ACB"/>
    <w:rsid w:val="4E511278"/>
    <w:rsid w:val="4E800A7B"/>
    <w:rsid w:val="4E8543B7"/>
    <w:rsid w:val="4F29503E"/>
    <w:rsid w:val="4F3A0EC1"/>
    <w:rsid w:val="4F510E04"/>
    <w:rsid w:val="4F7D76DC"/>
    <w:rsid w:val="4FA67BF2"/>
    <w:rsid w:val="4FAF16B5"/>
    <w:rsid w:val="4FD63829"/>
    <w:rsid w:val="503440C1"/>
    <w:rsid w:val="505D4B2E"/>
    <w:rsid w:val="50823C97"/>
    <w:rsid w:val="508A0724"/>
    <w:rsid w:val="508F14FC"/>
    <w:rsid w:val="50A608AE"/>
    <w:rsid w:val="50D245DB"/>
    <w:rsid w:val="510925B1"/>
    <w:rsid w:val="512A38DD"/>
    <w:rsid w:val="514C13E0"/>
    <w:rsid w:val="51A66377"/>
    <w:rsid w:val="51E647B2"/>
    <w:rsid w:val="522876D4"/>
    <w:rsid w:val="525168AB"/>
    <w:rsid w:val="525C3CE7"/>
    <w:rsid w:val="527B0B90"/>
    <w:rsid w:val="528470C1"/>
    <w:rsid w:val="52C67491"/>
    <w:rsid w:val="534610A2"/>
    <w:rsid w:val="536C7507"/>
    <w:rsid w:val="5382152B"/>
    <w:rsid w:val="53926E3F"/>
    <w:rsid w:val="53A50C78"/>
    <w:rsid w:val="542363A5"/>
    <w:rsid w:val="54880FEC"/>
    <w:rsid w:val="54C34B34"/>
    <w:rsid w:val="54D55CC9"/>
    <w:rsid w:val="55357513"/>
    <w:rsid w:val="55E47223"/>
    <w:rsid w:val="55F436FD"/>
    <w:rsid w:val="55FC04CF"/>
    <w:rsid w:val="56175A6E"/>
    <w:rsid w:val="56226FF5"/>
    <w:rsid w:val="56466F1D"/>
    <w:rsid w:val="56B007DD"/>
    <w:rsid w:val="56EE05BE"/>
    <w:rsid w:val="56F34B2E"/>
    <w:rsid w:val="57284C6E"/>
    <w:rsid w:val="573E620B"/>
    <w:rsid w:val="580F20F7"/>
    <w:rsid w:val="58877BE5"/>
    <w:rsid w:val="58D538E1"/>
    <w:rsid w:val="59021E2E"/>
    <w:rsid w:val="595F5B4C"/>
    <w:rsid w:val="596041FA"/>
    <w:rsid w:val="59B15629"/>
    <w:rsid w:val="59BA4845"/>
    <w:rsid w:val="59E32642"/>
    <w:rsid w:val="5A204372"/>
    <w:rsid w:val="5A6C157A"/>
    <w:rsid w:val="5A8A06F5"/>
    <w:rsid w:val="5AEE6A24"/>
    <w:rsid w:val="5B571B0F"/>
    <w:rsid w:val="5B6B3912"/>
    <w:rsid w:val="5B835E40"/>
    <w:rsid w:val="5BAF2A8B"/>
    <w:rsid w:val="5BC5314E"/>
    <w:rsid w:val="5BDE7F12"/>
    <w:rsid w:val="5C0E333F"/>
    <w:rsid w:val="5CCC3817"/>
    <w:rsid w:val="5D52665E"/>
    <w:rsid w:val="5D5D6DF6"/>
    <w:rsid w:val="5D7100CA"/>
    <w:rsid w:val="5DC42AF8"/>
    <w:rsid w:val="5DF33E64"/>
    <w:rsid w:val="5E4E6CD7"/>
    <w:rsid w:val="5E95509B"/>
    <w:rsid w:val="5EB65A41"/>
    <w:rsid w:val="5EC7641C"/>
    <w:rsid w:val="5ECC2FAE"/>
    <w:rsid w:val="5EE523C5"/>
    <w:rsid w:val="5EE712BD"/>
    <w:rsid w:val="5F1B4A85"/>
    <w:rsid w:val="5F8E554B"/>
    <w:rsid w:val="5FC00498"/>
    <w:rsid w:val="6062071A"/>
    <w:rsid w:val="60A01507"/>
    <w:rsid w:val="60A87C3C"/>
    <w:rsid w:val="60E215D3"/>
    <w:rsid w:val="60F44446"/>
    <w:rsid w:val="60F577E0"/>
    <w:rsid w:val="60F80539"/>
    <w:rsid w:val="611D2893"/>
    <w:rsid w:val="620444C1"/>
    <w:rsid w:val="622B51DA"/>
    <w:rsid w:val="62753852"/>
    <w:rsid w:val="6280757E"/>
    <w:rsid w:val="62AD6054"/>
    <w:rsid w:val="62C4572F"/>
    <w:rsid w:val="6319191C"/>
    <w:rsid w:val="635C0942"/>
    <w:rsid w:val="63CB7A57"/>
    <w:rsid w:val="643464BC"/>
    <w:rsid w:val="643E7C43"/>
    <w:rsid w:val="64653442"/>
    <w:rsid w:val="6484005C"/>
    <w:rsid w:val="64D074F6"/>
    <w:rsid w:val="65204AFC"/>
    <w:rsid w:val="658A3D5D"/>
    <w:rsid w:val="659E1662"/>
    <w:rsid w:val="65A80752"/>
    <w:rsid w:val="664F2F93"/>
    <w:rsid w:val="667C62E4"/>
    <w:rsid w:val="670047E9"/>
    <w:rsid w:val="67A565CB"/>
    <w:rsid w:val="67C74765"/>
    <w:rsid w:val="67D73DCC"/>
    <w:rsid w:val="68222052"/>
    <w:rsid w:val="6848003D"/>
    <w:rsid w:val="68BD32C5"/>
    <w:rsid w:val="68D0418D"/>
    <w:rsid w:val="68F9617C"/>
    <w:rsid w:val="693A3912"/>
    <w:rsid w:val="69CA4289"/>
    <w:rsid w:val="69D1393A"/>
    <w:rsid w:val="69E2061B"/>
    <w:rsid w:val="69EA1454"/>
    <w:rsid w:val="6A445923"/>
    <w:rsid w:val="6B1230E4"/>
    <w:rsid w:val="6B171C73"/>
    <w:rsid w:val="6B2F3686"/>
    <w:rsid w:val="6B3864AC"/>
    <w:rsid w:val="6B4726CD"/>
    <w:rsid w:val="6BCE1B9D"/>
    <w:rsid w:val="6C225786"/>
    <w:rsid w:val="6C2E4A93"/>
    <w:rsid w:val="6C573827"/>
    <w:rsid w:val="6CDE2CE5"/>
    <w:rsid w:val="6D0A552C"/>
    <w:rsid w:val="6D3671B7"/>
    <w:rsid w:val="6D5853A3"/>
    <w:rsid w:val="6D5E3424"/>
    <w:rsid w:val="6D6E30CD"/>
    <w:rsid w:val="6D7A0162"/>
    <w:rsid w:val="6D8454E9"/>
    <w:rsid w:val="6D8744FE"/>
    <w:rsid w:val="6DAA1953"/>
    <w:rsid w:val="6DD00878"/>
    <w:rsid w:val="6DD40582"/>
    <w:rsid w:val="6DF67582"/>
    <w:rsid w:val="6E336FDF"/>
    <w:rsid w:val="6E371D5C"/>
    <w:rsid w:val="6E3D609D"/>
    <w:rsid w:val="6E4010EC"/>
    <w:rsid w:val="6E7D4E70"/>
    <w:rsid w:val="6EB83BFB"/>
    <w:rsid w:val="6EF466AA"/>
    <w:rsid w:val="6F736C77"/>
    <w:rsid w:val="6FC6730D"/>
    <w:rsid w:val="70384806"/>
    <w:rsid w:val="70856429"/>
    <w:rsid w:val="70A12CAD"/>
    <w:rsid w:val="712E3D47"/>
    <w:rsid w:val="7198341E"/>
    <w:rsid w:val="71DF37E0"/>
    <w:rsid w:val="71F94C1F"/>
    <w:rsid w:val="72083267"/>
    <w:rsid w:val="72177C97"/>
    <w:rsid w:val="72192FF4"/>
    <w:rsid w:val="722540CE"/>
    <w:rsid w:val="72480213"/>
    <w:rsid w:val="72723668"/>
    <w:rsid w:val="72CD6C68"/>
    <w:rsid w:val="733F625E"/>
    <w:rsid w:val="737305B5"/>
    <w:rsid w:val="74621AC4"/>
    <w:rsid w:val="747D4B79"/>
    <w:rsid w:val="747E5112"/>
    <w:rsid w:val="74AF6EE1"/>
    <w:rsid w:val="74F3158F"/>
    <w:rsid w:val="74F47121"/>
    <w:rsid w:val="751E0246"/>
    <w:rsid w:val="75352014"/>
    <w:rsid w:val="755A56A5"/>
    <w:rsid w:val="75D902EB"/>
    <w:rsid w:val="75F25C45"/>
    <w:rsid w:val="76697584"/>
    <w:rsid w:val="767C38E1"/>
    <w:rsid w:val="767F1F2B"/>
    <w:rsid w:val="7685090A"/>
    <w:rsid w:val="77EF4B32"/>
    <w:rsid w:val="77F57040"/>
    <w:rsid w:val="77F62430"/>
    <w:rsid w:val="78102DF3"/>
    <w:rsid w:val="785A1A15"/>
    <w:rsid w:val="788B412F"/>
    <w:rsid w:val="78A52D19"/>
    <w:rsid w:val="78DE1D7A"/>
    <w:rsid w:val="78F114B6"/>
    <w:rsid w:val="790002CF"/>
    <w:rsid w:val="799E4F0C"/>
    <w:rsid w:val="79CB0558"/>
    <w:rsid w:val="79ED63B3"/>
    <w:rsid w:val="7A6D18A6"/>
    <w:rsid w:val="7A765676"/>
    <w:rsid w:val="7A7E7B23"/>
    <w:rsid w:val="7B9D1060"/>
    <w:rsid w:val="7BAA1821"/>
    <w:rsid w:val="7BC0496C"/>
    <w:rsid w:val="7BE35BBA"/>
    <w:rsid w:val="7BEA463D"/>
    <w:rsid w:val="7C7D5ECF"/>
    <w:rsid w:val="7C7F522C"/>
    <w:rsid w:val="7C990310"/>
    <w:rsid w:val="7CCE090A"/>
    <w:rsid w:val="7D345525"/>
    <w:rsid w:val="7DA103B5"/>
    <w:rsid w:val="7DD240CE"/>
    <w:rsid w:val="7DEB61E8"/>
    <w:rsid w:val="7E355D74"/>
    <w:rsid w:val="7E457E8B"/>
    <w:rsid w:val="7E9D03B1"/>
    <w:rsid w:val="7EC070B5"/>
    <w:rsid w:val="7ECD3F57"/>
    <w:rsid w:val="7F320C7A"/>
    <w:rsid w:val="7FC34CA0"/>
    <w:rsid w:val="7FED3B14"/>
    <w:rsid w:val="7FF13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qFormat="1"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仿宋_GB2312" w:hAnsi="仿宋_GB2312" w:eastAsia="仿宋_GB2312" w:cstheme="minorBidi"/>
      <w:kern w:val="2"/>
      <w:sz w:val="28"/>
      <w:szCs w:val="22"/>
      <w:lang w:val="en-US" w:eastAsia="zh-CN" w:bidi="ar-SA"/>
    </w:rPr>
  </w:style>
  <w:style w:type="paragraph" w:styleId="4">
    <w:name w:val="heading 1"/>
    <w:basedOn w:val="1"/>
    <w:next w:val="1"/>
    <w:link w:val="32"/>
    <w:qFormat/>
    <w:uiPriority w:val="9"/>
    <w:pPr>
      <w:keepNext/>
      <w:keepLines/>
      <w:spacing w:before="200" w:after="200"/>
      <w:ind w:firstLine="0" w:firstLineChars="0"/>
      <w:outlineLvl w:val="0"/>
    </w:pPr>
    <w:rPr>
      <w:rFonts w:ascii="黑体" w:hAnsi="黑体" w:eastAsia="黑体"/>
      <w:b/>
      <w:bCs/>
      <w:kern w:val="44"/>
      <w:sz w:val="32"/>
      <w:szCs w:val="44"/>
    </w:rPr>
  </w:style>
  <w:style w:type="paragraph" w:styleId="5">
    <w:name w:val="heading 2"/>
    <w:basedOn w:val="1"/>
    <w:next w:val="1"/>
    <w:link w:val="33"/>
    <w:unhideWhenUsed/>
    <w:qFormat/>
    <w:uiPriority w:val="9"/>
    <w:pPr>
      <w:keepNext/>
      <w:keepLines/>
      <w:spacing w:before="100" w:after="100"/>
      <w:outlineLvl w:val="1"/>
    </w:pPr>
    <w:rPr>
      <w:rFonts w:ascii="楷体" w:hAnsi="楷体" w:eastAsia="楷体" w:cstheme="majorBidi"/>
      <w:b/>
      <w:bCs/>
      <w:sz w:val="32"/>
      <w:szCs w:val="32"/>
    </w:rPr>
  </w:style>
  <w:style w:type="paragraph" w:styleId="6">
    <w:name w:val="heading 3"/>
    <w:basedOn w:val="1"/>
    <w:next w:val="1"/>
    <w:link w:val="37"/>
    <w:unhideWhenUsed/>
    <w:qFormat/>
    <w:uiPriority w:val="9"/>
    <w:pPr>
      <w:keepNext/>
      <w:keepLines/>
      <w:outlineLvl w:val="2"/>
    </w:pPr>
    <w:rPr>
      <w:b/>
      <w:bCs/>
      <w:szCs w:val="32"/>
    </w:rPr>
  </w:style>
  <w:style w:type="paragraph" w:styleId="7">
    <w:name w:val="heading 4"/>
    <w:basedOn w:val="1"/>
    <w:next w:val="1"/>
    <w:link w:val="38"/>
    <w:unhideWhenUsed/>
    <w:qFormat/>
    <w:uiPriority w:val="9"/>
    <w:pPr>
      <w:keepNext/>
      <w:keepLines/>
      <w:spacing w:before="280" w:after="290" w:line="376" w:lineRule="auto"/>
      <w:outlineLvl w:val="3"/>
    </w:pPr>
    <w:rPr>
      <w:rFonts w:cs="仿宋_GB2312"/>
      <w:b/>
      <w:kern w:val="10"/>
      <w:szCs w:val="28"/>
    </w:rPr>
  </w:style>
  <w:style w:type="paragraph" w:styleId="8">
    <w:name w:val="heading 6"/>
    <w:basedOn w:val="1"/>
    <w:next w:val="1"/>
    <w:unhideWhenUsed/>
    <w:qFormat/>
    <w:uiPriority w:val="0"/>
    <w:pPr>
      <w:keepNext/>
      <w:keepLines/>
      <w:tabs>
        <w:tab w:val="left" w:pos="1151"/>
      </w:tabs>
      <w:spacing w:before="240" w:after="64" w:line="320" w:lineRule="auto"/>
      <w:ind w:left="1151" w:hanging="1151"/>
      <w:outlineLvl w:val="5"/>
    </w:pPr>
    <w:rPr>
      <w:rFonts w:ascii="Cambria" w:hAnsi="Cambria"/>
      <w:b/>
      <w:bCs/>
    </w:rPr>
  </w:style>
  <w:style w:type="character" w:default="1" w:styleId="27">
    <w:name w:val="Default Paragraph Font"/>
    <w:semiHidden/>
    <w:unhideWhenUsed/>
    <w:qFormat/>
    <w:uiPriority w:val="1"/>
  </w:style>
  <w:style w:type="table" w:default="1" w:styleId="3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1"/>
    <w:unhideWhenUsed/>
    <w:qFormat/>
    <w:uiPriority w:val="99"/>
    <w:pPr>
      <w:ind w:left="420" w:leftChars="200"/>
    </w:pPr>
  </w:style>
  <w:style w:type="paragraph" w:styleId="9">
    <w:name w:val="annotation subject"/>
    <w:basedOn w:val="10"/>
    <w:next w:val="10"/>
    <w:link w:val="42"/>
    <w:semiHidden/>
    <w:unhideWhenUsed/>
    <w:qFormat/>
    <w:uiPriority w:val="99"/>
    <w:rPr>
      <w:b/>
      <w:bCs/>
    </w:rPr>
  </w:style>
  <w:style w:type="paragraph" w:styleId="10">
    <w:name w:val="annotation text"/>
    <w:basedOn w:val="1"/>
    <w:link w:val="41"/>
    <w:unhideWhenUsed/>
    <w:qFormat/>
    <w:uiPriority w:val="99"/>
    <w:pPr>
      <w:jc w:val="left"/>
    </w:pPr>
  </w:style>
  <w:style w:type="paragraph" w:styleId="11">
    <w:name w:val="table of authorities"/>
    <w:basedOn w:val="1"/>
    <w:next w:val="1"/>
    <w:semiHidden/>
    <w:unhideWhenUsed/>
    <w:qFormat/>
    <w:uiPriority w:val="99"/>
    <w:pPr>
      <w:ind w:left="420" w:leftChars="200"/>
    </w:pPr>
  </w:style>
  <w:style w:type="paragraph" w:styleId="12">
    <w:name w:val="index 8"/>
    <w:basedOn w:val="1"/>
    <w:next w:val="1"/>
    <w:semiHidden/>
    <w:qFormat/>
    <w:uiPriority w:val="0"/>
    <w:rPr>
      <w:szCs w:val="24"/>
    </w:rPr>
  </w:style>
  <w:style w:type="paragraph" w:styleId="13">
    <w:name w:val="Normal Indent"/>
    <w:basedOn w:val="1"/>
    <w:qFormat/>
    <w:uiPriority w:val="0"/>
    <w:pPr>
      <w:ind w:firstLine="420" w:firstLineChars="200"/>
    </w:pPr>
  </w:style>
  <w:style w:type="paragraph" w:styleId="14">
    <w:name w:val="caption"/>
    <w:basedOn w:val="1"/>
    <w:next w:val="1"/>
    <w:unhideWhenUsed/>
    <w:qFormat/>
    <w:uiPriority w:val="0"/>
    <w:rPr>
      <w:rFonts w:eastAsia="黑体" w:asciiTheme="majorHAnsi" w:hAnsiTheme="majorHAnsi" w:cstheme="majorBidi"/>
      <w:sz w:val="20"/>
      <w:szCs w:val="20"/>
    </w:rPr>
  </w:style>
  <w:style w:type="paragraph" w:styleId="15">
    <w:name w:val="toa heading"/>
    <w:basedOn w:val="1"/>
    <w:next w:val="1"/>
    <w:semiHidden/>
    <w:unhideWhenUsed/>
    <w:qFormat/>
    <w:uiPriority w:val="99"/>
    <w:pPr>
      <w:spacing w:before="120"/>
    </w:pPr>
    <w:rPr>
      <w:rFonts w:ascii="Arial" w:hAnsi="Arial"/>
      <w:sz w:val="24"/>
    </w:rPr>
  </w:style>
  <w:style w:type="paragraph" w:styleId="16">
    <w:name w:val="Body Text"/>
    <w:basedOn w:val="1"/>
    <w:next w:val="17"/>
    <w:qFormat/>
    <w:uiPriority w:val="99"/>
    <w:rPr>
      <w:rFonts w:cs="Times New Roman"/>
      <w:szCs w:val="21"/>
    </w:rPr>
  </w:style>
  <w:style w:type="paragraph" w:styleId="17">
    <w:name w:val="toc 2"/>
    <w:basedOn w:val="1"/>
    <w:next w:val="1"/>
    <w:unhideWhenUsed/>
    <w:qFormat/>
    <w:uiPriority w:val="39"/>
    <w:pPr>
      <w:tabs>
        <w:tab w:val="right" w:leader="dot" w:pos="8296"/>
      </w:tabs>
      <w:ind w:left="560" w:leftChars="200" w:firstLine="0" w:firstLineChars="0"/>
    </w:pPr>
  </w:style>
  <w:style w:type="paragraph" w:styleId="18">
    <w:name w:val="toc 3"/>
    <w:basedOn w:val="1"/>
    <w:next w:val="1"/>
    <w:unhideWhenUsed/>
    <w:qFormat/>
    <w:uiPriority w:val="39"/>
    <w:pPr>
      <w:ind w:left="840" w:leftChars="400"/>
    </w:pPr>
  </w:style>
  <w:style w:type="paragraph" w:styleId="19">
    <w:name w:val="Body Text Indent 2"/>
    <w:basedOn w:val="1"/>
    <w:qFormat/>
    <w:uiPriority w:val="0"/>
    <w:pPr>
      <w:spacing w:line="600" w:lineRule="exact"/>
      <w:ind w:left="0" w:leftChars="0"/>
    </w:pPr>
    <w:rPr>
      <w:rFonts w:ascii="Times New Roman" w:hAnsi="Times New Roman" w:cs="Times New Roman"/>
      <w:szCs w:val="24"/>
    </w:rPr>
  </w:style>
  <w:style w:type="paragraph" w:styleId="20">
    <w:name w:val="Balloon Text"/>
    <w:basedOn w:val="1"/>
    <w:link w:val="39"/>
    <w:semiHidden/>
    <w:unhideWhenUsed/>
    <w:qFormat/>
    <w:uiPriority w:val="99"/>
    <w:pPr>
      <w:spacing w:line="240" w:lineRule="auto"/>
    </w:pPr>
    <w:rPr>
      <w:sz w:val="18"/>
      <w:szCs w:val="18"/>
    </w:rPr>
  </w:style>
  <w:style w:type="paragraph" w:styleId="21">
    <w:name w:val="footer"/>
    <w:basedOn w:val="1"/>
    <w:link w:val="36"/>
    <w:unhideWhenUsed/>
    <w:qFormat/>
    <w:uiPriority w:val="99"/>
    <w:pPr>
      <w:tabs>
        <w:tab w:val="center" w:pos="4153"/>
        <w:tab w:val="right" w:pos="8306"/>
      </w:tabs>
      <w:snapToGrid w:val="0"/>
      <w:spacing w:line="240" w:lineRule="auto"/>
      <w:jc w:val="left"/>
    </w:pPr>
    <w:rPr>
      <w:sz w:val="18"/>
      <w:szCs w:val="18"/>
    </w:rPr>
  </w:style>
  <w:style w:type="paragraph" w:styleId="22">
    <w:name w:val="header"/>
    <w:basedOn w:val="1"/>
    <w:link w:val="3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3">
    <w:name w:val="toc 1"/>
    <w:basedOn w:val="1"/>
    <w:next w:val="1"/>
    <w:unhideWhenUsed/>
    <w:qFormat/>
    <w:uiPriority w:val="39"/>
    <w:pPr>
      <w:tabs>
        <w:tab w:val="right" w:leader="dot" w:pos="8296"/>
      </w:tabs>
      <w:ind w:firstLine="0" w:firstLineChars="0"/>
    </w:pPr>
    <w:rPr>
      <w:rFonts w:hAnsi="宋体"/>
      <w:b/>
      <w:bCs/>
    </w:rPr>
  </w:style>
  <w:style w:type="paragraph" w:styleId="24">
    <w:name w:val="toc 6"/>
    <w:basedOn w:val="1"/>
    <w:next w:val="1"/>
    <w:qFormat/>
    <w:uiPriority w:val="0"/>
    <w:pPr>
      <w:ind w:left="2100"/>
    </w:pPr>
  </w:style>
  <w:style w:type="paragraph" w:styleId="2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6">
    <w:name w:val="Normal (Web)"/>
    <w:basedOn w:val="1"/>
    <w:semiHidden/>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28">
    <w:name w:val="Hyperlink"/>
    <w:basedOn w:val="27"/>
    <w:unhideWhenUsed/>
    <w:qFormat/>
    <w:uiPriority w:val="99"/>
    <w:rPr>
      <w:color w:val="0563C1" w:themeColor="hyperlink"/>
      <w:u w:val="single"/>
      <w14:textFill>
        <w14:solidFill>
          <w14:schemeClr w14:val="hlink"/>
        </w14:solidFill>
      </w14:textFill>
    </w:rPr>
  </w:style>
  <w:style w:type="character" w:styleId="29">
    <w:name w:val="annotation reference"/>
    <w:basedOn w:val="27"/>
    <w:semiHidden/>
    <w:unhideWhenUsed/>
    <w:qFormat/>
    <w:uiPriority w:val="99"/>
    <w:rPr>
      <w:sz w:val="21"/>
      <w:szCs w:val="21"/>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2">
    <w:name w:val="标题 1 字符"/>
    <w:basedOn w:val="27"/>
    <w:link w:val="4"/>
    <w:qFormat/>
    <w:uiPriority w:val="9"/>
    <w:rPr>
      <w:rFonts w:ascii="黑体" w:hAnsi="黑体" w:eastAsia="黑体"/>
      <w:b/>
      <w:bCs/>
      <w:kern w:val="44"/>
      <w:sz w:val="32"/>
      <w:szCs w:val="44"/>
    </w:rPr>
  </w:style>
  <w:style w:type="character" w:customStyle="1" w:styleId="33">
    <w:name w:val="标题 2 字符"/>
    <w:basedOn w:val="27"/>
    <w:link w:val="5"/>
    <w:qFormat/>
    <w:uiPriority w:val="9"/>
    <w:rPr>
      <w:rFonts w:ascii="楷体" w:hAnsi="楷体" w:eastAsia="楷体" w:cstheme="majorBidi"/>
      <w:b/>
      <w:bCs/>
      <w:sz w:val="32"/>
      <w:szCs w:val="32"/>
    </w:rPr>
  </w:style>
  <w:style w:type="paragraph" w:styleId="34">
    <w:name w:val="List Paragraph"/>
    <w:basedOn w:val="1"/>
    <w:qFormat/>
    <w:uiPriority w:val="34"/>
    <w:pPr>
      <w:ind w:firstLine="420"/>
    </w:pPr>
  </w:style>
  <w:style w:type="character" w:customStyle="1" w:styleId="35">
    <w:name w:val="页眉 字符"/>
    <w:basedOn w:val="27"/>
    <w:link w:val="22"/>
    <w:qFormat/>
    <w:uiPriority w:val="99"/>
    <w:rPr>
      <w:rFonts w:ascii="仿宋_GB2312" w:hAnsi="仿宋_GB2312" w:eastAsia="仿宋_GB2312"/>
      <w:sz w:val="18"/>
      <w:szCs w:val="18"/>
    </w:rPr>
  </w:style>
  <w:style w:type="character" w:customStyle="1" w:styleId="36">
    <w:name w:val="页脚 字符"/>
    <w:basedOn w:val="27"/>
    <w:link w:val="21"/>
    <w:qFormat/>
    <w:uiPriority w:val="99"/>
    <w:rPr>
      <w:rFonts w:ascii="仿宋_GB2312" w:hAnsi="仿宋_GB2312" w:eastAsia="仿宋_GB2312"/>
      <w:sz w:val="18"/>
      <w:szCs w:val="18"/>
    </w:rPr>
  </w:style>
  <w:style w:type="character" w:customStyle="1" w:styleId="37">
    <w:name w:val="标题 3 字符"/>
    <w:basedOn w:val="27"/>
    <w:link w:val="6"/>
    <w:qFormat/>
    <w:uiPriority w:val="9"/>
    <w:rPr>
      <w:rFonts w:ascii="仿宋_GB2312" w:hAnsi="仿宋_GB2312" w:eastAsia="仿宋_GB2312"/>
      <w:b/>
      <w:bCs/>
      <w:sz w:val="28"/>
      <w:szCs w:val="32"/>
    </w:rPr>
  </w:style>
  <w:style w:type="character" w:customStyle="1" w:styleId="38">
    <w:name w:val="标题 4 字符"/>
    <w:basedOn w:val="27"/>
    <w:link w:val="7"/>
    <w:qFormat/>
    <w:uiPriority w:val="9"/>
    <w:rPr>
      <w:rFonts w:ascii="仿宋_GB2312" w:hAnsi="仿宋_GB2312" w:eastAsia="仿宋_GB2312" w:cs="仿宋_GB2312"/>
      <w:b/>
      <w:kern w:val="10"/>
      <w:sz w:val="28"/>
      <w:szCs w:val="28"/>
    </w:rPr>
  </w:style>
  <w:style w:type="character" w:customStyle="1" w:styleId="39">
    <w:name w:val="批注框文本 字符"/>
    <w:basedOn w:val="27"/>
    <w:link w:val="20"/>
    <w:semiHidden/>
    <w:qFormat/>
    <w:uiPriority w:val="99"/>
    <w:rPr>
      <w:rFonts w:ascii="仿宋_GB2312" w:hAnsi="仿宋_GB2312" w:eastAsia="仿宋_GB2312"/>
      <w:sz w:val="18"/>
      <w:szCs w:val="18"/>
    </w:rPr>
  </w:style>
  <w:style w:type="paragraph" w:customStyle="1" w:styleId="40">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Cs w:val="32"/>
    </w:rPr>
  </w:style>
  <w:style w:type="character" w:customStyle="1" w:styleId="41">
    <w:name w:val="批注文字 字符"/>
    <w:basedOn w:val="27"/>
    <w:link w:val="10"/>
    <w:qFormat/>
    <w:uiPriority w:val="99"/>
    <w:rPr>
      <w:rFonts w:ascii="仿宋_GB2312" w:hAnsi="仿宋_GB2312" w:eastAsia="仿宋_GB2312" w:cstheme="minorBidi"/>
      <w:kern w:val="2"/>
      <w:sz w:val="28"/>
      <w:szCs w:val="22"/>
    </w:rPr>
  </w:style>
  <w:style w:type="character" w:customStyle="1" w:styleId="42">
    <w:name w:val="批注主题 字符"/>
    <w:basedOn w:val="41"/>
    <w:link w:val="9"/>
    <w:semiHidden/>
    <w:qFormat/>
    <w:uiPriority w:val="99"/>
    <w:rPr>
      <w:rFonts w:ascii="仿宋_GB2312" w:hAnsi="仿宋_GB2312" w:eastAsia="仿宋_GB2312" w:cstheme="minorBidi"/>
      <w:b/>
      <w:bCs/>
      <w:kern w:val="2"/>
      <w:sz w:val="28"/>
      <w:szCs w:val="22"/>
    </w:rPr>
  </w:style>
  <w:style w:type="paragraph" w:customStyle="1" w:styleId="43">
    <w:name w:val="修订1"/>
    <w:hidden/>
    <w:semiHidden/>
    <w:qFormat/>
    <w:uiPriority w:val="99"/>
    <w:rPr>
      <w:rFonts w:ascii="仿宋_GB2312" w:hAnsi="仿宋_GB2312" w:eastAsia="仿宋_GB2312" w:cstheme="minorBidi"/>
      <w:kern w:val="2"/>
      <w:sz w:val="28"/>
      <w:szCs w:val="22"/>
      <w:lang w:val="en-US" w:eastAsia="zh-CN" w:bidi="ar-SA"/>
    </w:rPr>
  </w:style>
  <w:style w:type="character" w:customStyle="1" w:styleId="44">
    <w:name w:val="font11"/>
    <w:basedOn w:val="27"/>
    <w:qFormat/>
    <w:uiPriority w:val="0"/>
    <w:rPr>
      <w:rFonts w:hint="eastAsia" w:ascii="宋体" w:hAnsi="宋体" w:eastAsia="宋体" w:cs="宋体"/>
      <w:color w:val="000000"/>
      <w:sz w:val="21"/>
      <w:szCs w:val="21"/>
      <w:u w:val="none"/>
    </w:rPr>
  </w:style>
  <w:style w:type="character" w:customStyle="1" w:styleId="45">
    <w:name w:val="font51"/>
    <w:basedOn w:val="27"/>
    <w:qFormat/>
    <w:uiPriority w:val="0"/>
    <w:rPr>
      <w:rFonts w:hint="eastAsia" w:ascii="宋体" w:hAnsi="宋体" w:eastAsia="宋体" w:cs="宋体"/>
      <w:color w:val="000000"/>
      <w:sz w:val="21"/>
      <w:szCs w:val="21"/>
      <w:u w:val="none"/>
    </w:rPr>
  </w:style>
  <w:style w:type="character" w:customStyle="1" w:styleId="46">
    <w:name w:val="font31"/>
    <w:basedOn w:val="27"/>
    <w:qFormat/>
    <w:uiPriority w:val="0"/>
    <w:rPr>
      <w:rFonts w:hint="eastAsia" w:ascii="宋体" w:hAnsi="宋体" w:eastAsia="宋体" w:cs="宋体"/>
      <w:color w:val="000000"/>
      <w:sz w:val="21"/>
      <w:szCs w:val="21"/>
      <w:u w:val="none"/>
    </w:rPr>
  </w:style>
  <w:style w:type="character" w:customStyle="1" w:styleId="47">
    <w:name w:val="font21"/>
    <w:basedOn w:val="27"/>
    <w:qFormat/>
    <w:uiPriority w:val="0"/>
    <w:rPr>
      <w:rFonts w:hint="eastAsia" w:ascii="宋体" w:hAnsi="宋体" w:eastAsia="宋体"/>
      <w:color w:val="000000"/>
      <w:sz w:val="21"/>
      <w:szCs w:val="21"/>
      <w:u w:val="none"/>
    </w:rPr>
  </w:style>
  <w:style w:type="paragraph" w:customStyle="1" w:styleId="48">
    <w:name w:val="修订2"/>
    <w:hidden/>
    <w:semiHidden/>
    <w:qFormat/>
    <w:uiPriority w:val="99"/>
    <w:rPr>
      <w:rFonts w:ascii="仿宋_GB2312" w:hAnsi="仿宋_GB2312" w:eastAsia="仿宋_GB2312" w:cstheme="minorBidi"/>
      <w:kern w:val="2"/>
      <w:sz w:val="28"/>
      <w:szCs w:val="22"/>
      <w:lang w:val="en-US" w:eastAsia="zh-CN" w:bidi="ar-SA"/>
    </w:rPr>
  </w:style>
  <w:style w:type="character" w:customStyle="1" w:styleId="49">
    <w:name w:val="font01"/>
    <w:basedOn w:val="27"/>
    <w:qFormat/>
    <w:uiPriority w:val="0"/>
    <w:rPr>
      <w:rFonts w:ascii="东文宋体" w:hAnsi="东文宋体" w:eastAsia="东文宋体" w:cs="东文宋体"/>
      <w:color w:val="000000"/>
      <w:sz w:val="18"/>
      <w:szCs w:val="18"/>
      <w:u w:val="none"/>
    </w:rPr>
  </w:style>
  <w:style w:type="character" w:customStyle="1" w:styleId="50">
    <w:name w:val="font41"/>
    <w:basedOn w:val="27"/>
    <w:qFormat/>
    <w:uiPriority w:val="0"/>
    <w:rPr>
      <w:rFonts w:hint="eastAsia" w:ascii="宋体" w:hAnsi="宋体" w:eastAsia="宋体" w:cs="宋体"/>
      <w:color w:val="000000"/>
      <w:sz w:val="18"/>
      <w:szCs w:val="18"/>
      <w:u w:val="none"/>
    </w:rPr>
  </w:style>
  <w:style w:type="paragraph" w:customStyle="1" w:styleId="51">
    <w:name w:val="Revision"/>
    <w:hidden/>
    <w:semiHidden/>
    <w:qFormat/>
    <w:uiPriority w:val="99"/>
    <w:rPr>
      <w:rFonts w:ascii="仿宋_GB2312" w:hAnsi="仿宋_GB2312" w:eastAsia="仿宋_GB2312" w:cstheme="minorBidi"/>
      <w:kern w:val="2"/>
      <w:sz w:val="28"/>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9B64AB-EF99-4381-9248-93A311950CB9}">
  <ds:schemaRefs/>
</ds:datastoreItem>
</file>

<file path=docProps/app.xml><?xml version="1.0" encoding="utf-8"?>
<Properties xmlns="http://schemas.openxmlformats.org/officeDocument/2006/extended-properties" xmlns:vt="http://schemas.openxmlformats.org/officeDocument/2006/docPropsVTypes">
  <Template>Normal.dotm</Template>
  <Pages>250</Pages>
  <Words>110876</Words>
  <Characters>125099</Characters>
  <Lines>1021</Lines>
  <Paragraphs>287</Paragraphs>
  <TotalTime>67</TotalTime>
  <ScaleCrop>false</ScaleCrop>
  <LinksUpToDate>false</LinksUpToDate>
  <CharactersWithSpaces>126102</CharactersWithSpaces>
  <Application>WPS Office_11.1.0.7989_F1E327BC-269C-435d-A152-05C5408002CA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2020-05-13T03:24:00Z</dcterms:created>
  <dc:creator>腊梅</dc:creator>
  <cp:lastModifiedBy>Administrator</cp:lastModifiedBy>
  <cp:lastPrinted>2026-04-16T09:08:00Z</cp:lastPrinted>
  <dcterms:modified xsi:type="dcterms:W3CDTF">2026-08-24T03:24:44Z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y fmtid="{D5CDD505-2E9C-101B-9397-08002B2CF9AE}" pid="3" name="ICV">
    <vt:lpwstr>CED2D5055A8D4838941D1BEF4CA969FC</vt:lpwstr>
  </property>
</Properties>
</file>